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DAC699">
      <w:pPr>
        <w:spacing w:line="260" w:lineRule="exact"/>
      </w:pPr>
      <w:r>
        <w:rPr>
          <w:rFonts w:hint="eastAsia"/>
        </w:rPr>
        <w:t>附件1:技术服务项目内容</w:t>
      </w:r>
    </w:p>
    <w:p w14:paraId="01B9486B">
      <w:pPr>
        <w:widowControl/>
        <w:spacing w:line="640" w:lineRule="exact"/>
        <w:ind w:firstLine="427"/>
        <w:jc w:val="left"/>
        <w:rPr>
          <w:rFonts w:ascii="宋体" w:hAnsi="宋体" w:eastAsia="宋体" w:cs="宋体"/>
          <w:color w:val="000000"/>
          <w:sz w:val="28"/>
          <w:szCs w:val="28"/>
        </w:rPr>
      </w:pPr>
    </w:p>
    <w:p w14:paraId="6C4BAB2A">
      <w:pPr>
        <w:widowControl/>
        <w:spacing w:line="640" w:lineRule="exact"/>
        <w:ind w:firstLine="427"/>
        <w:jc w:val="left"/>
        <w:rPr>
          <w:rFonts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一、市场调研咨询内容</w:t>
      </w:r>
    </w:p>
    <w:p w14:paraId="61FBCD0A">
      <w:pPr>
        <w:widowControl/>
        <w:spacing w:line="640" w:lineRule="exact"/>
        <w:ind w:firstLine="427"/>
        <w:jc w:val="left"/>
        <w:rPr>
          <w:rFonts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1、商务技术要求合理化建议</w:t>
      </w:r>
    </w:p>
    <w:tbl>
      <w:tblPr>
        <w:tblStyle w:val="9"/>
        <w:tblW w:w="92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1"/>
        <w:gridCol w:w="1399"/>
        <w:gridCol w:w="888"/>
        <w:gridCol w:w="5983"/>
      </w:tblGrid>
      <w:tr w14:paraId="56886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  <w:jc w:val="center"/>
        </w:trPr>
        <w:tc>
          <w:tcPr>
            <w:tcW w:w="931" w:type="dxa"/>
            <w:tcBorders>
              <w:left w:val="single" w:color="auto" w:sz="4" w:space="0"/>
            </w:tcBorders>
            <w:vAlign w:val="center"/>
          </w:tcPr>
          <w:p w14:paraId="5D4A618D">
            <w:pPr>
              <w:spacing w:line="360" w:lineRule="exact"/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1399" w:type="dxa"/>
            <w:noWrap/>
            <w:vAlign w:val="center"/>
          </w:tcPr>
          <w:p w14:paraId="62C394D2">
            <w:pPr>
              <w:spacing w:line="360" w:lineRule="exact"/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888" w:type="dxa"/>
            <w:noWrap/>
            <w:vAlign w:val="center"/>
          </w:tcPr>
          <w:p w14:paraId="45DDBC2B">
            <w:pPr>
              <w:spacing w:line="360" w:lineRule="exact"/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数量及单位</w:t>
            </w:r>
          </w:p>
        </w:tc>
        <w:tc>
          <w:tcPr>
            <w:tcW w:w="5983" w:type="dxa"/>
            <w:tcBorders>
              <w:right w:val="single" w:color="auto" w:sz="4" w:space="0"/>
            </w:tcBorders>
            <w:noWrap/>
            <w:vAlign w:val="center"/>
          </w:tcPr>
          <w:p w14:paraId="144222FF">
            <w:pPr>
              <w:spacing w:line="36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服务参数</w:t>
            </w:r>
          </w:p>
          <w:p w14:paraId="0031E78D">
            <w:pPr>
              <w:spacing w:line="36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 xml:space="preserve"> </w:t>
            </w:r>
          </w:p>
        </w:tc>
      </w:tr>
      <w:tr w14:paraId="3ADCB8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  <w:jc w:val="center"/>
        </w:trPr>
        <w:tc>
          <w:tcPr>
            <w:tcW w:w="931" w:type="dxa"/>
            <w:tcBorders>
              <w:left w:val="single" w:color="auto" w:sz="4" w:space="0"/>
            </w:tcBorders>
            <w:vAlign w:val="center"/>
          </w:tcPr>
          <w:p w14:paraId="0F2CD710">
            <w:pPr>
              <w:spacing w:line="420" w:lineRule="exact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1</w:t>
            </w:r>
          </w:p>
        </w:tc>
        <w:tc>
          <w:tcPr>
            <w:tcW w:w="1399" w:type="dxa"/>
            <w:noWrap/>
            <w:vAlign w:val="center"/>
          </w:tcPr>
          <w:p w14:paraId="09956148">
            <w:pPr>
              <w:widowControl/>
              <w:spacing w:line="5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cs="仿宋_GB2312"/>
                <w:color w:val="000000"/>
                <w:sz w:val="28"/>
                <w:szCs w:val="28"/>
                <w:lang w:val="en-US" w:eastAsia="zh-CN"/>
              </w:rPr>
              <w:t>玉林市中医医院</w:t>
            </w:r>
            <w:r>
              <w:rPr>
                <w:rFonts w:hint="eastAsia" w:ascii="仿宋_GB2312" w:hAnsi="宋体" w:cs="仿宋_GB2312"/>
                <w:color w:val="000000"/>
                <w:sz w:val="28"/>
                <w:szCs w:val="28"/>
                <w:lang w:val="en-US" w:eastAsia="zh-CN"/>
              </w:rPr>
              <w:t>“苏香祛痛膏”医疗机构中药民族药制剂研制开发采购项目</w:t>
            </w:r>
          </w:p>
        </w:tc>
        <w:tc>
          <w:tcPr>
            <w:tcW w:w="888" w:type="dxa"/>
            <w:noWrap/>
            <w:vAlign w:val="center"/>
          </w:tcPr>
          <w:p w14:paraId="6A8CF667">
            <w:pPr>
              <w:pStyle w:val="6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1项</w:t>
            </w:r>
          </w:p>
        </w:tc>
        <w:tc>
          <w:tcPr>
            <w:tcW w:w="5983" w:type="dxa"/>
            <w:tcBorders>
              <w:right w:val="single" w:color="auto" w:sz="4" w:space="0"/>
            </w:tcBorders>
            <w:noWrap/>
            <w:vAlign w:val="center"/>
          </w:tcPr>
          <w:p w14:paraId="2DBAA6B1">
            <w:pPr>
              <w:widowControl/>
              <w:spacing w:line="500" w:lineRule="exact"/>
              <w:ind w:firstLine="482" w:firstLineChars="200"/>
              <w:jc w:val="left"/>
              <w:rPr>
                <w:sz w:val="24"/>
              </w:rPr>
            </w:pPr>
            <w:r>
              <w:rPr>
                <w:rStyle w:val="12"/>
                <w:rFonts w:ascii="宋体" w:hAnsi="宋体" w:eastAsia="宋体" w:cs="宋体"/>
                <w:kern w:val="0"/>
                <w:sz w:val="24"/>
              </w:rPr>
              <w:t>1.</w:t>
            </w:r>
            <w:r>
              <w:rPr>
                <w:rStyle w:val="12"/>
                <w:rFonts w:hint="eastAsia" w:ascii="宋体" w:hAnsi="宋体" w:eastAsia="宋体" w:cs="宋体"/>
                <w:kern w:val="0"/>
                <w:sz w:val="24"/>
                <w:lang w:eastAsia="zh-CN"/>
              </w:rPr>
              <w:t>软膏</w:t>
            </w:r>
            <w:r>
              <w:rPr>
                <w:rStyle w:val="12"/>
                <w:rFonts w:ascii="宋体" w:hAnsi="宋体" w:eastAsia="宋体" w:cs="宋体"/>
                <w:kern w:val="0"/>
                <w:sz w:val="24"/>
              </w:rPr>
              <w:t>剂工艺优化技术服务</w:t>
            </w:r>
          </w:p>
          <w:p w14:paraId="3BAC1BDA">
            <w:pPr>
              <w:widowControl/>
              <w:spacing w:line="500" w:lineRule="exact"/>
              <w:ind w:firstLine="480" w:firstLineChars="200"/>
              <w:jc w:val="left"/>
              <w:rPr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  <w:t>根据</w:t>
            </w:r>
            <w:r>
              <w:rPr>
                <w:rFonts w:ascii="宋体" w:hAnsi="宋体" w:eastAsia="宋体" w:cs="宋体"/>
                <w:kern w:val="0"/>
                <w:sz w:val="24"/>
              </w:rPr>
              <w:t>医疗机构中药</w:t>
            </w:r>
            <w:r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  <w:t>软膏</w:t>
            </w:r>
            <w:r>
              <w:rPr>
                <w:rFonts w:ascii="宋体" w:hAnsi="宋体" w:eastAsia="宋体" w:cs="宋体"/>
                <w:kern w:val="0"/>
                <w:sz w:val="24"/>
              </w:rPr>
              <w:t>剂制备相关规范要求</w:t>
            </w:r>
            <w:r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>开展</w:t>
            </w:r>
            <w:r>
              <w:rPr>
                <w:rFonts w:hint="eastAsia" w:ascii="仿宋_GB2312" w:hAnsi="宋体" w:cs="仿宋_GB2312"/>
                <w:color w:val="000000"/>
                <w:sz w:val="28"/>
                <w:szCs w:val="28"/>
                <w:lang w:val="en-US" w:eastAsia="zh-CN"/>
              </w:rPr>
              <w:t>苏香祛痛膏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>药材提取、配制工艺优化研究，完成小试验证，</w:t>
            </w:r>
            <w:r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  <w:t>提供完整的、</w:t>
            </w:r>
            <w:r>
              <w:rPr>
                <w:rFonts w:ascii="宋体" w:hAnsi="宋体" w:eastAsia="宋体" w:cs="宋体"/>
                <w:kern w:val="0"/>
                <w:sz w:val="24"/>
              </w:rPr>
              <w:t>符合院内制剂备案要求的工艺研究技术数据资料。</w:t>
            </w:r>
          </w:p>
          <w:p w14:paraId="44BC0D31">
            <w:pPr>
              <w:widowControl/>
              <w:spacing w:line="500" w:lineRule="exact"/>
              <w:ind w:firstLine="482" w:firstLineChars="200"/>
              <w:jc w:val="left"/>
              <w:rPr>
                <w:sz w:val="24"/>
              </w:rPr>
            </w:pPr>
            <w:r>
              <w:rPr>
                <w:rStyle w:val="12"/>
                <w:rFonts w:ascii="宋体" w:hAnsi="宋体" w:eastAsia="宋体" w:cs="宋体"/>
                <w:kern w:val="0"/>
                <w:sz w:val="24"/>
              </w:rPr>
              <w:t>2.质量标准及方法学验证技术服务</w:t>
            </w:r>
          </w:p>
          <w:p w14:paraId="6AC61284">
            <w:pPr>
              <w:widowControl/>
              <w:spacing w:line="500" w:lineRule="exact"/>
              <w:ind w:firstLine="480" w:firstLineChars="200"/>
              <w:jc w:val="left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</w:rPr>
              <w:t>开展</w:t>
            </w:r>
            <w:r>
              <w:rPr>
                <w:rFonts w:hint="eastAsia" w:ascii="仿宋_GB2312" w:hAnsi="宋体" w:cs="仿宋_GB2312"/>
                <w:color w:val="000000"/>
                <w:sz w:val="28"/>
                <w:szCs w:val="28"/>
                <w:lang w:val="en-US" w:eastAsia="zh-CN"/>
              </w:rPr>
              <w:t>苏香祛痛膏</w:t>
            </w:r>
            <w:r>
              <w:rPr>
                <w:rFonts w:ascii="宋体" w:hAnsi="宋体" w:eastAsia="宋体" w:cs="宋体"/>
                <w:kern w:val="0"/>
                <w:sz w:val="24"/>
              </w:rPr>
              <w:t>质量指标研究。完善制剂性状、薄层鉴别、粒度、水分、溶化性、装量差异、微生物限度等常规检查项目，建立核心有效成分含量测定方法。按照药品质量研究技术指导原则，完成所有检验项目的方法学验证工作，汇总试验数据，起草完整的</w:t>
            </w:r>
            <w:r>
              <w:rPr>
                <w:rFonts w:hint="eastAsia" w:ascii="仿宋_GB2312" w:hAnsi="宋体" w:cs="仿宋_GB2312"/>
                <w:color w:val="000000"/>
                <w:sz w:val="28"/>
                <w:szCs w:val="28"/>
                <w:lang w:val="en-US" w:eastAsia="zh-CN"/>
              </w:rPr>
              <w:t>苏香祛痛膏</w:t>
            </w:r>
            <w:r>
              <w:rPr>
                <w:rFonts w:ascii="宋体" w:hAnsi="宋体" w:eastAsia="宋体" w:cs="宋体"/>
                <w:kern w:val="0"/>
                <w:sz w:val="24"/>
              </w:rPr>
              <w:t>院内制剂质量标准及对应起草说明，形成规范可控的质量控制体系。</w:t>
            </w:r>
          </w:p>
          <w:p w14:paraId="65F2A063">
            <w:pPr>
              <w:widowControl/>
              <w:spacing w:line="500" w:lineRule="exact"/>
              <w:ind w:firstLine="482" w:firstLineChars="200"/>
              <w:jc w:val="left"/>
              <w:rPr>
                <w:sz w:val="24"/>
              </w:rPr>
            </w:pPr>
            <w:r>
              <w:rPr>
                <w:rStyle w:val="12"/>
                <w:rFonts w:ascii="宋体" w:hAnsi="宋体" w:eastAsia="宋体" w:cs="宋体"/>
                <w:kern w:val="0"/>
                <w:sz w:val="24"/>
              </w:rPr>
              <w:t>3</w:t>
            </w:r>
            <w:r>
              <w:rPr>
                <w:rStyle w:val="12"/>
                <w:rFonts w:hint="eastAsia" w:ascii="宋体" w:hAnsi="宋体" w:eastAsia="宋体" w:cs="宋体"/>
                <w:kern w:val="0"/>
                <w:sz w:val="24"/>
              </w:rPr>
              <w:t>.</w:t>
            </w:r>
            <w:r>
              <w:rPr>
                <w:rStyle w:val="12"/>
                <w:rFonts w:ascii="宋体" w:hAnsi="宋体" w:eastAsia="宋体" w:cs="宋体"/>
                <w:kern w:val="0"/>
                <w:sz w:val="24"/>
              </w:rPr>
              <w:t xml:space="preserve"> 制剂稳定性研究技术服务</w:t>
            </w:r>
          </w:p>
          <w:p w14:paraId="0A041326">
            <w:pPr>
              <w:widowControl/>
              <w:spacing w:line="500" w:lineRule="exact"/>
              <w:ind w:firstLine="480" w:firstLineChars="200"/>
              <w:jc w:val="left"/>
              <w:rPr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</w:rPr>
              <w:t>制定</w:t>
            </w:r>
            <w:r>
              <w:rPr>
                <w:rFonts w:hint="eastAsia" w:ascii="仿宋_GB2312" w:hAnsi="宋体" w:cs="仿宋_GB2312"/>
                <w:color w:val="000000"/>
                <w:sz w:val="28"/>
                <w:szCs w:val="28"/>
                <w:lang w:val="en-US" w:eastAsia="zh-CN"/>
              </w:rPr>
              <w:t>苏香祛痛膏</w:t>
            </w:r>
            <w:r>
              <w:rPr>
                <w:rFonts w:ascii="宋体" w:hAnsi="宋体" w:eastAsia="宋体" w:cs="宋体"/>
                <w:kern w:val="0"/>
                <w:sz w:val="24"/>
              </w:rPr>
              <w:t>系统性稳定性试验方案，开展加速稳定性试验及长期稳定性试验。根据</w:t>
            </w:r>
            <w:r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  <w:t>软膏剂</w:t>
            </w:r>
            <w:r>
              <w:rPr>
                <w:rFonts w:ascii="宋体" w:hAnsi="宋体" w:eastAsia="宋体" w:cs="宋体"/>
                <w:kern w:val="0"/>
                <w:sz w:val="24"/>
              </w:rPr>
              <w:t>特性，定点考察样品性状、鉴别结果、有效成分含量、有关物质、水分、溶化性、微生物限度等关键指标，定期取样检测、整理试验数据、分析质量变化规律。结合试验结果确定制剂合理包装形式、贮藏条件及使用有效期，编制完整、合规的稳定性研究试验报告。</w:t>
            </w:r>
          </w:p>
          <w:p w14:paraId="6A3A4AF7">
            <w:pPr>
              <w:widowControl/>
              <w:numPr>
                <w:ilvl w:val="0"/>
                <w:numId w:val="2"/>
              </w:numPr>
              <w:spacing w:line="500" w:lineRule="exact"/>
              <w:ind w:firstLine="482" w:firstLineChars="200"/>
              <w:jc w:val="left"/>
              <w:rPr>
                <w:rStyle w:val="12"/>
                <w:rFonts w:ascii="宋体" w:hAnsi="宋体" w:eastAsia="宋体" w:cs="宋体"/>
                <w:kern w:val="0"/>
                <w:sz w:val="24"/>
              </w:rPr>
            </w:pPr>
            <w:r>
              <w:rPr>
                <w:rStyle w:val="12"/>
                <w:rFonts w:hint="eastAsia" w:ascii="宋体" w:hAnsi="宋体" w:eastAsia="宋体" w:cs="宋体"/>
                <w:kern w:val="0"/>
                <w:sz w:val="24"/>
                <w:lang w:eastAsia="zh-CN"/>
              </w:rPr>
              <w:t>药效与安全性评价研究技术服务</w:t>
            </w:r>
          </w:p>
          <w:p w14:paraId="20950456">
            <w:pPr>
              <w:widowControl/>
              <w:numPr>
                <w:numId w:val="0"/>
              </w:numPr>
              <w:spacing w:line="500" w:lineRule="exact"/>
              <w:ind w:firstLine="480" w:firstLineChars="200"/>
              <w:jc w:val="left"/>
              <w:rPr>
                <w:rStyle w:val="12"/>
                <w:rFonts w:hint="eastAsia" w:ascii="宋体" w:hAnsi="宋体" w:eastAsia="宋体" w:cs="宋体"/>
                <w:b w:val="0"/>
                <w:bCs/>
                <w:kern w:val="0"/>
                <w:sz w:val="24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/>
                <w:kern w:val="0"/>
                <w:sz w:val="24"/>
              </w:rPr>
              <w:t>开展针</w:t>
            </w:r>
            <w:r>
              <w:rPr>
                <w:rStyle w:val="12"/>
                <w:rFonts w:hint="eastAsia" w:ascii="宋体" w:hAnsi="宋体" w:eastAsia="宋体" w:cs="宋体"/>
                <w:b w:val="0"/>
                <w:bCs/>
                <w:kern w:val="0"/>
                <w:sz w:val="24"/>
                <w:lang w:eastAsia="zh-CN"/>
              </w:rPr>
              <w:t>对</w:t>
            </w:r>
            <w:r>
              <w:rPr>
                <w:rFonts w:hint="eastAsia" w:ascii="仿宋_GB2312" w:hAnsi="宋体" w:cs="仿宋_GB2312"/>
                <w:color w:val="000000"/>
                <w:sz w:val="28"/>
                <w:szCs w:val="28"/>
                <w:lang w:val="en-US" w:eastAsia="zh-CN"/>
              </w:rPr>
              <w:t>苏香祛痛膏治疗</w:t>
            </w:r>
            <w:r>
              <w:rPr>
                <w:rStyle w:val="12"/>
                <w:rFonts w:hint="eastAsia" w:ascii="宋体" w:hAnsi="宋体" w:eastAsia="宋体" w:cs="宋体"/>
                <w:b w:val="0"/>
                <w:bCs/>
                <w:kern w:val="0"/>
                <w:sz w:val="24"/>
              </w:rPr>
              <w:t>适应症相关动物模型药效试验，</w:t>
            </w:r>
            <w:r>
              <w:rPr>
                <w:rStyle w:val="12"/>
                <w:rFonts w:hint="eastAsia" w:ascii="宋体" w:hAnsi="宋体" w:eastAsia="宋体" w:cs="宋体"/>
                <w:b w:val="0"/>
                <w:bCs/>
                <w:kern w:val="0"/>
                <w:sz w:val="24"/>
                <w:lang w:eastAsia="zh-CN"/>
              </w:rPr>
              <w:t>提供</w:t>
            </w:r>
            <w:r>
              <w:rPr>
                <w:rStyle w:val="12"/>
                <w:rFonts w:hint="eastAsia" w:ascii="宋体" w:hAnsi="宋体" w:eastAsia="宋体" w:cs="宋体"/>
                <w:b w:val="0"/>
                <w:bCs/>
                <w:kern w:val="0"/>
                <w:sz w:val="24"/>
              </w:rPr>
              <w:t>完整</w:t>
            </w:r>
            <w:r>
              <w:rPr>
                <w:rStyle w:val="12"/>
                <w:rFonts w:hint="eastAsia" w:ascii="宋体" w:hAnsi="宋体" w:eastAsia="宋体" w:cs="宋体"/>
                <w:b w:val="0"/>
                <w:bCs/>
                <w:kern w:val="0"/>
                <w:sz w:val="24"/>
                <w:lang w:eastAsia="zh-CN"/>
              </w:rPr>
              <w:t>的</w:t>
            </w:r>
            <w:r>
              <w:rPr>
                <w:rStyle w:val="12"/>
                <w:rFonts w:hint="eastAsia" w:ascii="宋体" w:hAnsi="宋体" w:eastAsia="宋体" w:cs="宋体"/>
                <w:b w:val="0"/>
                <w:bCs/>
                <w:kern w:val="0"/>
                <w:sz w:val="24"/>
              </w:rPr>
              <w:t>药效研究</w:t>
            </w:r>
            <w:r>
              <w:rPr>
                <w:rStyle w:val="12"/>
                <w:rFonts w:hint="eastAsia" w:ascii="宋体" w:hAnsi="宋体" w:eastAsia="宋体" w:cs="宋体"/>
                <w:b w:val="0"/>
                <w:bCs/>
                <w:kern w:val="0"/>
                <w:sz w:val="24"/>
                <w:lang w:eastAsia="zh-CN"/>
              </w:rPr>
              <w:t>数据</w:t>
            </w:r>
            <w:r>
              <w:rPr>
                <w:rStyle w:val="12"/>
                <w:rFonts w:hint="eastAsia" w:ascii="宋体" w:hAnsi="宋体" w:eastAsia="宋体" w:cs="宋体"/>
                <w:b w:val="0"/>
                <w:bCs/>
                <w:kern w:val="0"/>
                <w:sz w:val="24"/>
              </w:rPr>
              <w:t>资料。</w:t>
            </w:r>
          </w:p>
          <w:p w14:paraId="19DC7CE1">
            <w:pPr>
              <w:widowControl/>
              <w:numPr>
                <w:numId w:val="0"/>
              </w:numPr>
              <w:spacing w:line="500" w:lineRule="exact"/>
              <w:ind w:firstLine="480" w:firstLineChars="200"/>
              <w:jc w:val="left"/>
              <w:rPr>
                <w:rStyle w:val="12"/>
                <w:rFonts w:hint="eastAsia" w:ascii="宋体" w:hAnsi="宋体" w:eastAsia="宋体" w:cs="宋体"/>
                <w:b w:val="0"/>
                <w:bCs/>
                <w:kern w:val="0"/>
                <w:sz w:val="24"/>
                <w:lang w:eastAsia="zh-CN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/>
                <w:kern w:val="0"/>
                <w:sz w:val="24"/>
                <w:lang w:eastAsia="zh-CN"/>
              </w:rPr>
              <w:t>根据法规要求及</w:t>
            </w:r>
            <w:r>
              <w:rPr>
                <w:rFonts w:hint="eastAsia" w:ascii="仿宋_GB2312" w:hAnsi="宋体" w:cs="仿宋_GB2312"/>
                <w:color w:val="000000"/>
                <w:sz w:val="28"/>
                <w:szCs w:val="28"/>
                <w:lang w:val="en-US" w:eastAsia="zh-CN"/>
              </w:rPr>
              <w:t>苏香祛痛膏</w:t>
            </w:r>
            <w:r>
              <w:rPr>
                <w:rStyle w:val="12"/>
                <w:rFonts w:hint="eastAsia" w:ascii="宋体" w:hAnsi="宋体" w:eastAsia="宋体" w:cs="宋体"/>
                <w:b w:val="0"/>
                <w:bCs/>
                <w:kern w:val="0"/>
                <w:sz w:val="24"/>
                <w:lang w:eastAsia="zh-CN"/>
              </w:rPr>
              <w:t>制剂特性，</w:t>
            </w:r>
            <w:r>
              <w:rPr>
                <w:rStyle w:val="12"/>
                <w:rFonts w:hint="eastAsia" w:ascii="宋体" w:hAnsi="宋体" w:eastAsia="宋体" w:cs="宋体"/>
                <w:b w:val="0"/>
                <w:bCs/>
                <w:kern w:val="0"/>
                <w:sz w:val="24"/>
                <w:lang w:val="en-US" w:eastAsia="zh-CN"/>
              </w:rPr>
              <w:t>完成急性毒性试验资料及长期毒性试验资料，</w:t>
            </w:r>
            <w:r>
              <w:rPr>
                <w:rStyle w:val="12"/>
                <w:rFonts w:hint="eastAsia" w:ascii="宋体" w:hAnsi="宋体" w:eastAsia="宋体" w:cs="宋体"/>
                <w:b w:val="0"/>
                <w:bCs/>
                <w:kern w:val="0"/>
                <w:sz w:val="24"/>
                <w:lang w:eastAsia="zh-CN"/>
              </w:rPr>
              <w:t>提供完整的</w:t>
            </w:r>
            <w:r>
              <w:rPr>
                <w:rStyle w:val="12"/>
                <w:rFonts w:hint="eastAsia" w:ascii="宋体" w:hAnsi="宋体" w:eastAsia="宋体" w:cs="宋体"/>
                <w:b w:val="0"/>
                <w:bCs/>
                <w:kern w:val="0"/>
                <w:sz w:val="24"/>
              </w:rPr>
              <w:t>安全性评价研究</w:t>
            </w:r>
            <w:r>
              <w:rPr>
                <w:rStyle w:val="12"/>
                <w:rFonts w:hint="eastAsia" w:ascii="宋体" w:hAnsi="宋体" w:eastAsia="宋体" w:cs="宋体"/>
                <w:b w:val="0"/>
                <w:bCs/>
                <w:kern w:val="0"/>
                <w:sz w:val="24"/>
                <w:lang w:eastAsia="zh-CN"/>
              </w:rPr>
              <w:t>数据</w:t>
            </w:r>
            <w:r>
              <w:rPr>
                <w:rStyle w:val="12"/>
                <w:rFonts w:hint="eastAsia" w:ascii="宋体" w:hAnsi="宋体" w:eastAsia="宋体" w:cs="宋体"/>
                <w:b w:val="0"/>
                <w:bCs/>
                <w:kern w:val="0"/>
                <w:sz w:val="24"/>
              </w:rPr>
              <w:t>资料。</w:t>
            </w:r>
          </w:p>
          <w:p w14:paraId="3A26E406">
            <w:pPr>
              <w:widowControl/>
              <w:spacing w:line="500" w:lineRule="exact"/>
              <w:ind w:firstLine="482" w:firstLineChars="200"/>
              <w:jc w:val="left"/>
              <w:rPr>
                <w:sz w:val="24"/>
              </w:rPr>
            </w:pPr>
            <w:r>
              <w:rPr>
                <w:rStyle w:val="12"/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5.</w:t>
            </w:r>
            <w:r>
              <w:rPr>
                <w:rStyle w:val="12"/>
                <w:rFonts w:ascii="宋体" w:hAnsi="宋体" w:eastAsia="宋体" w:cs="宋体"/>
                <w:kern w:val="0"/>
                <w:sz w:val="24"/>
              </w:rPr>
              <w:t>院内制剂备案资料技术咨询与</w:t>
            </w:r>
            <w:r>
              <w:rPr>
                <w:rStyle w:val="12"/>
                <w:rFonts w:hint="eastAsia" w:ascii="宋体" w:hAnsi="宋体" w:eastAsia="宋体" w:cs="宋体"/>
                <w:kern w:val="0"/>
                <w:sz w:val="24"/>
              </w:rPr>
              <w:t>指导</w:t>
            </w:r>
          </w:p>
          <w:p w14:paraId="619C3D44">
            <w:pPr>
              <w:widowControl/>
              <w:spacing w:line="500" w:lineRule="exact"/>
              <w:ind w:firstLine="480" w:firstLineChars="200"/>
              <w:jc w:val="left"/>
              <w:rPr>
                <w:sz w:val="24"/>
              </w:rPr>
            </w:pPr>
            <w:bookmarkStart w:id="0" w:name="_GoBack"/>
            <w:bookmarkEnd w:id="0"/>
            <w:r>
              <w:rPr>
                <w:rFonts w:ascii="宋体" w:hAnsi="宋体" w:eastAsia="宋体" w:cs="宋体"/>
                <w:kern w:val="0"/>
                <w:sz w:val="24"/>
              </w:rPr>
              <w:t>对照医疗机构中药制剂备案相关政策法规及资料规范，对工艺研究、质量标准及方法学验证、稳定性研究等全套研究资料进行合规审核、查漏补缺。全程指导完成</w:t>
            </w:r>
            <w:r>
              <w:rPr>
                <w:rFonts w:hint="eastAsia" w:ascii="仿宋_GB2312" w:hAnsi="宋体" w:cs="仿宋_GB2312"/>
                <w:color w:val="000000"/>
                <w:sz w:val="28"/>
                <w:szCs w:val="28"/>
                <w:lang w:val="en-US" w:eastAsia="zh-CN"/>
              </w:rPr>
              <w:t>苏香祛痛膏医疗机构中药民族药</w:t>
            </w:r>
            <w:r>
              <w:rPr>
                <w:rFonts w:ascii="宋体" w:hAnsi="宋体" w:eastAsia="宋体" w:cs="宋体"/>
                <w:kern w:val="0"/>
                <w:sz w:val="24"/>
              </w:rPr>
              <w:t>制剂备案所有申报资料的梳理、编撰、汇总与修订工作，包含处方依据、工艺资料、质量标准、稳定性报告、制剂说明书及标签样稿等全套材料。提供备案政策解读、资料审核答疑及申报资料修改优化指导，确保所有资料符合院内制剂备案申报要求。</w:t>
            </w:r>
          </w:p>
          <w:p w14:paraId="2B259BDB">
            <w:pPr>
              <w:spacing w:line="500" w:lineRule="exact"/>
              <w:rPr>
                <w:sz w:val="24"/>
              </w:rPr>
            </w:pPr>
          </w:p>
          <w:p w14:paraId="27973C79">
            <w:pPr>
              <w:spacing w:line="420" w:lineRule="exact"/>
              <w:textAlignment w:val="bottom"/>
              <w:rPr>
                <w:rFonts w:ascii="宋体" w:hAnsi="宋体" w:eastAsia="宋体" w:cs="宋体"/>
                <w:sz w:val="28"/>
                <w:szCs w:val="28"/>
              </w:rPr>
            </w:pPr>
          </w:p>
        </w:tc>
      </w:tr>
      <w:tr w14:paraId="4F869A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9201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936CA2D">
            <w:pPr>
              <w:widowControl/>
              <w:spacing w:line="640" w:lineRule="exact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报价（元）：</w:t>
            </w:r>
          </w:p>
        </w:tc>
      </w:tr>
      <w:tr w14:paraId="34D47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9201" w:type="dxa"/>
            <w:gridSpan w:val="4"/>
            <w:vAlign w:val="center"/>
          </w:tcPr>
          <w:p w14:paraId="7CF7C63F">
            <w:pPr>
              <w:spacing w:line="420" w:lineRule="exact"/>
              <w:jc w:val="center"/>
              <w:textAlignment w:val="bottom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商务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</w:rPr>
              <w:t>技术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要求</w:t>
            </w:r>
          </w:p>
        </w:tc>
      </w:tr>
      <w:tr w14:paraId="228011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  <w:jc w:val="center"/>
        </w:trPr>
        <w:tc>
          <w:tcPr>
            <w:tcW w:w="9201" w:type="dxa"/>
            <w:gridSpan w:val="4"/>
            <w:vAlign w:val="center"/>
          </w:tcPr>
          <w:p w14:paraId="2137176F">
            <w:pPr>
              <w:pStyle w:val="4"/>
              <w:spacing w:line="360" w:lineRule="auto"/>
            </w:pPr>
            <w:r>
              <w:t>1.交货 / 服务地点及提货要求：客户指定地点</w:t>
            </w:r>
          </w:p>
          <w:p w14:paraId="1FCE03FD">
            <w:pPr>
              <w:pStyle w:val="4"/>
              <w:spacing w:line="36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2.商务技术要求合理化建议</w:t>
            </w:r>
          </w:p>
          <w:p w14:paraId="035FBD9A">
            <w:pPr>
              <w:pStyle w:val="4"/>
              <w:spacing w:line="36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1）服务时间：202</w:t>
            </w:r>
            <w:r>
              <w:rPr>
                <w:rFonts w:hint="eastAsia"/>
                <w:color w:val="auto"/>
                <w:highlight w:val="none"/>
                <w:lang w:val="en-US" w:eastAsia="zh-CN"/>
              </w:rPr>
              <w:t>9</w:t>
            </w:r>
            <w:r>
              <w:rPr>
                <w:color w:val="auto"/>
                <w:highlight w:val="none"/>
              </w:rPr>
              <w:t>年</w:t>
            </w:r>
            <w:r>
              <w:rPr>
                <w:rFonts w:hint="eastAsia"/>
                <w:color w:val="auto"/>
                <w:highlight w:val="none"/>
                <w:lang w:val="en-US" w:eastAsia="zh-CN"/>
              </w:rPr>
              <w:t>10</w:t>
            </w:r>
            <w:r>
              <w:rPr>
                <w:color w:val="auto"/>
                <w:highlight w:val="none"/>
              </w:rPr>
              <w:t>月3</w:t>
            </w:r>
            <w:r>
              <w:rPr>
                <w:rFonts w:hint="eastAsia"/>
                <w:color w:val="auto"/>
                <w:highlight w:val="none"/>
                <w:lang w:eastAsia="zh-CN"/>
              </w:rPr>
              <w:t>1</w:t>
            </w:r>
            <w:r>
              <w:rPr>
                <w:color w:val="auto"/>
                <w:highlight w:val="none"/>
              </w:rPr>
              <w:t>日前完成。</w:t>
            </w:r>
          </w:p>
          <w:p w14:paraId="48D4BE06">
            <w:pPr>
              <w:pStyle w:val="4"/>
              <w:spacing w:line="360" w:lineRule="auto"/>
            </w:pPr>
            <w:r>
              <w:rPr>
                <w:color w:val="auto"/>
                <w:highlight w:val="none"/>
              </w:rPr>
              <w:t>2）履约验收要求：</w:t>
            </w:r>
            <w:r>
              <w:rPr>
                <w:rFonts w:hint="eastAsia" w:cs="宋体"/>
                <w:color w:val="auto"/>
                <w:highlight w:val="none"/>
                <w:lang w:eastAsia="zh-CN"/>
              </w:rPr>
              <w:t>制剂</w:t>
            </w:r>
            <w:r>
              <w:rPr>
                <w:rFonts w:cs="宋体"/>
                <w:color w:val="auto"/>
                <w:highlight w:val="none"/>
              </w:rPr>
              <w:t>工艺</w:t>
            </w:r>
            <w:r>
              <w:rPr>
                <w:rFonts w:hint="eastAsia" w:cs="宋体"/>
                <w:color w:val="auto"/>
                <w:highlight w:val="none"/>
                <w:lang w:eastAsia="zh-CN"/>
              </w:rPr>
              <w:t>制备</w:t>
            </w:r>
            <w:r>
              <w:rPr>
                <w:rFonts w:cs="宋体"/>
                <w:color w:val="auto"/>
                <w:highlight w:val="none"/>
              </w:rPr>
              <w:t>、质量</w:t>
            </w:r>
            <w:r>
              <w:rPr>
                <w:rFonts w:hint="eastAsia" w:cs="宋体"/>
                <w:color w:val="auto"/>
                <w:highlight w:val="none"/>
                <w:lang w:eastAsia="zh-CN"/>
              </w:rPr>
              <w:t>标准</w:t>
            </w:r>
            <w:r>
              <w:rPr>
                <w:rFonts w:cs="宋体"/>
                <w:color w:val="auto"/>
                <w:highlight w:val="none"/>
              </w:rPr>
              <w:t>、稳定性</w:t>
            </w:r>
            <w:r>
              <w:rPr>
                <w:rFonts w:hint="eastAsia" w:cs="宋体"/>
                <w:color w:val="auto"/>
                <w:highlight w:val="none"/>
                <w:lang w:eastAsia="zh-CN"/>
              </w:rPr>
              <w:t>研究、药效与安全性评价研究</w:t>
            </w:r>
            <w:r>
              <w:rPr>
                <w:rFonts w:cs="宋体"/>
                <w:color w:val="auto"/>
                <w:highlight w:val="none"/>
              </w:rPr>
              <w:t>等申报资料符合广西医疗机构中药制剂备案政策及技术要求，通过</w:t>
            </w:r>
            <w:r>
              <w:rPr>
                <w:rFonts w:hint="eastAsia" w:cs="宋体"/>
                <w:color w:val="auto"/>
                <w:highlight w:val="none"/>
                <w:lang w:eastAsia="zh-CN"/>
              </w:rPr>
              <w:t>采购单位</w:t>
            </w:r>
            <w:r>
              <w:rPr>
                <w:rFonts w:cs="宋体"/>
                <w:color w:val="auto"/>
                <w:highlight w:val="none"/>
              </w:rPr>
              <w:t>组织的内部专家/技术小组评审。</w:t>
            </w:r>
          </w:p>
        </w:tc>
      </w:tr>
    </w:tbl>
    <w:p w14:paraId="63039450">
      <w:pPr>
        <w:spacing w:line="260" w:lineRule="exact"/>
      </w:pPr>
    </w:p>
    <w:p w14:paraId="2F9A7F63">
      <w:pPr>
        <w:rPr>
          <w:rFonts w:ascii="黑体" w:hAnsi="黑体" w:eastAsia="黑体"/>
          <w:b/>
          <w:bCs/>
          <w:sz w:val="52"/>
          <w:szCs w:val="72"/>
        </w:rPr>
      </w:pPr>
    </w:p>
    <w:sectPr>
      <w:footerReference r:id="rId3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489179108"/>
    </w:sdtPr>
    <w:sdtContent>
      <w:p w14:paraId="21A5B4F2">
        <w:pPr>
          <w:pStyle w:val="6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19CB5E03">
    <w:pPr>
      <w:pStyle w:val="6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0F21D91"/>
    <w:multiLevelType w:val="singleLevel"/>
    <w:tmpl w:val="B0F21D91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0000000A"/>
    <w:multiLevelType w:val="multilevel"/>
    <w:tmpl w:val="0000000A"/>
    <w:lvl w:ilvl="0" w:tentative="0">
      <w:start w:val="1"/>
      <w:numFmt w:val="decimal"/>
      <w:lvlText w:val="%1"/>
      <w:lvlJc w:val="left"/>
      <w:pPr>
        <w:tabs>
          <w:tab w:val="left" w:pos="432"/>
        </w:tabs>
        <w:ind w:left="432" w:hanging="432"/>
      </w:pPr>
      <w:rPr>
        <w:rFonts w:hint="default" w:ascii="宋体" w:hAnsi="宋体" w:eastAsia="宋体" w:cs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576"/>
        </w:tabs>
        <w:ind w:left="576" w:hanging="576"/>
      </w:pPr>
      <w:rPr>
        <w:rFonts w:hint="default" w:ascii="宋体" w:hAnsi="宋体" w:eastAsia="宋体" w:cs="Times New Roman"/>
        <w:b/>
        <w:i w:val="0"/>
        <w:sz w:val="28"/>
      </w:rPr>
    </w:lvl>
    <w:lvl w:ilvl="2" w:tentative="0">
      <w:start w:val="1"/>
      <w:numFmt w:val="decimal"/>
      <w:pStyle w:val="2"/>
      <w:lvlText w:val="%1.%2.%3"/>
      <w:lvlJc w:val="left"/>
      <w:pPr>
        <w:tabs>
          <w:tab w:val="left" w:pos="720"/>
        </w:tabs>
        <w:ind w:left="720" w:hanging="720"/>
      </w:pPr>
      <w:rPr>
        <w:rFonts w:hint="default" w:ascii="Arial" w:hAnsi="Arial" w:eastAsia="微软雅黑" w:cs="Times New Roman"/>
        <w:b/>
        <w:i w:val="0"/>
        <w:sz w:val="28"/>
      </w:rPr>
    </w:lvl>
    <w:lvl w:ilvl="3" w:tentative="0">
      <w:start w:val="1"/>
      <w:numFmt w:val="decimal"/>
      <w:lvlText w:val="%1.%2.%3.%4"/>
      <w:lvlJc w:val="left"/>
      <w:pPr>
        <w:tabs>
          <w:tab w:val="left" w:pos="864"/>
        </w:tabs>
        <w:ind w:left="864" w:hanging="864"/>
      </w:pPr>
      <w:rPr>
        <w:rFonts w:hint="default" w:ascii="Arial" w:hAnsi="Arial" w:eastAsia="微软雅黑" w:cs="Times New Roman"/>
        <w:b/>
        <w:i w:val="0"/>
        <w:sz w:val="28"/>
      </w:rPr>
    </w:lvl>
    <w:lvl w:ilvl="4" w:tentative="0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hint="default" w:ascii="Arial" w:hAnsi="Arial" w:eastAsia="微软雅黑" w:cs="Times New Roman"/>
        <w:b/>
        <w:i w:val="0"/>
        <w:sz w:val="28"/>
      </w:rPr>
    </w:lvl>
    <w:lvl w:ilvl="5" w:tentative="0">
      <w:start w:val="1"/>
      <w:numFmt w:val="decimal"/>
      <w:lvlText w:val="%1.%2.%3.%4.%5.%6"/>
      <w:lvlJc w:val="left"/>
      <w:pPr>
        <w:tabs>
          <w:tab w:val="left" w:pos="1332"/>
        </w:tabs>
        <w:ind w:left="1332" w:hanging="1152"/>
      </w:pPr>
      <w:rPr>
        <w:rFonts w:hint="default" w:ascii="Arial" w:hAnsi="Arial" w:eastAsia="微软雅黑" w:cs="Times New Roman"/>
        <w:b/>
        <w:i w:val="0"/>
        <w:sz w:val="28"/>
      </w:r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default" w:ascii="Arial" w:hAnsi="Arial" w:eastAsia="微软雅黑" w:cs="Times New Roman"/>
        <w:b/>
        <w:i w:val="0"/>
        <w:sz w:val="28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ZjMjczMjUyYmRkZTJiY2ZjNDBhN2ViODY5NGY3YjgifQ=="/>
  </w:docVars>
  <w:rsids>
    <w:rsidRoot w:val="00172A27"/>
    <w:rsid w:val="00001B09"/>
    <w:rsid w:val="00007B4F"/>
    <w:rsid w:val="000225B3"/>
    <w:rsid w:val="000260A0"/>
    <w:rsid w:val="00026C23"/>
    <w:rsid w:val="0003318B"/>
    <w:rsid w:val="00035181"/>
    <w:rsid w:val="0004637E"/>
    <w:rsid w:val="00046D26"/>
    <w:rsid w:val="00047D08"/>
    <w:rsid w:val="00052557"/>
    <w:rsid w:val="000723A1"/>
    <w:rsid w:val="00077232"/>
    <w:rsid w:val="0008200A"/>
    <w:rsid w:val="00095D75"/>
    <w:rsid w:val="000A363C"/>
    <w:rsid w:val="000B224F"/>
    <w:rsid w:val="000B7AC5"/>
    <w:rsid w:val="000D1E3E"/>
    <w:rsid w:val="000E310E"/>
    <w:rsid w:val="000E4905"/>
    <w:rsid w:val="000F0F5A"/>
    <w:rsid w:val="000F5522"/>
    <w:rsid w:val="00135E3B"/>
    <w:rsid w:val="0014642E"/>
    <w:rsid w:val="00151684"/>
    <w:rsid w:val="00154932"/>
    <w:rsid w:val="00157408"/>
    <w:rsid w:val="00164DAB"/>
    <w:rsid w:val="00164E2F"/>
    <w:rsid w:val="001665CA"/>
    <w:rsid w:val="00167A01"/>
    <w:rsid w:val="00170460"/>
    <w:rsid w:val="00172A27"/>
    <w:rsid w:val="00183DC8"/>
    <w:rsid w:val="00184649"/>
    <w:rsid w:val="00187053"/>
    <w:rsid w:val="001A3F6D"/>
    <w:rsid w:val="001A5485"/>
    <w:rsid w:val="001A74A6"/>
    <w:rsid w:val="001D08E5"/>
    <w:rsid w:val="001D4E92"/>
    <w:rsid w:val="001F02EE"/>
    <w:rsid w:val="001F42D7"/>
    <w:rsid w:val="0020023D"/>
    <w:rsid w:val="00206491"/>
    <w:rsid w:val="00210CC6"/>
    <w:rsid w:val="00226F6D"/>
    <w:rsid w:val="002423E0"/>
    <w:rsid w:val="00255D84"/>
    <w:rsid w:val="00267805"/>
    <w:rsid w:val="0028171A"/>
    <w:rsid w:val="00282FF1"/>
    <w:rsid w:val="00286E7B"/>
    <w:rsid w:val="002B4ECD"/>
    <w:rsid w:val="002B6C9C"/>
    <w:rsid w:val="002C052A"/>
    <w:rsid w:val="002D1D13"/>
    <w:rsid w:val="002D2F17"/>
    <w:rsid w:val="002D598E"/>
    <w:rsid w:val="002E6794"/>
    <w:rsid w:val="002E7583"/>
    <w:rsid w:val="002F00E9"/>
    <w:rsid w:val="002F7C68"/>
    <w:rsid w:val="00304D85"/>
    <w:rsid w:val="00307960"/>
    <w:rsid w:val="0031264D"/>
    <w:rsid w:val="003248FC"/>
    <w:rsid w:val="00363835"/>
    <w:rsid w:val="0036621F"/>
    <w:rsid w:val="00370CBD"/>
    <w:rsid w:val="00381525"/>
    <w:rsid w:val="00395752"/>
    <w:rsid w:val="003A0EF9"/>
    <w:rsid w:val="003A2505"/>
    <w:rsid w:val="003B5DF5"/>
    <w:rsid w:val="003C2C2F"/>
    <w:rsid w:val="003C7C73"/>
    <w:rsid w:val="003E3F9E"/>
    <w:rsid w:val="00401B2D"/>
    <w:rsid w:val="00404BC5"/>
    <w:rsid w:val="0041515A"/>
    <w:rsid w:val="00433AEF"/>
    <w:rsid w:val="004419B5"/>
    <w:rsid w:val="004428BA"/>
    <w:rsid w:val="0044586C"/>
    <w:rsid w:val="004518D9"/>
    <w:rsid w:val="00452B75"/>
    <w:rsid w:val="00455D03"/>
    <w:rsid w:val="00464E2C"/>
    <w:rsid w:val="004705D4"/>
    <w:rsid w:val="00493C8C"/>
    <w:rsid w:val="00494763"/>
    <w:rsid w:val="004A5AF2"/>
    <w:rsid w:val="004B3317"/>
    <w:rsid w:val="004E11B2"/>
    <w:rsid w:val="004F5A57"/>
    <w:rsid w:val="0052349B"/>
    <w:rsid w:val="00542064"/>
    <w:rsid w:val="005514E8"/>
    <w:rsid w:val="00554976"/>
    <w:rsid w:val="00555476"/>
    <w:rsid w:val="00560555"/>
    <w:rsid w:val="00560587"/>
    <w:rsid w:val="00564367"/>
    <w:rsid w:val="005671F3"/>
    <w:rsid w:val="00573A5B"/>
    <w:rsid w:val="00576246"/>
    <w:rsid w:val="005846B0"/>
    <w:rsid w:val="005A52D6"/>
    <w:rsid w:val="005C36B3"/>
    <w:rsid w:val="005D30DB"/>
    <w:rsid w:val="005E1877"/>
    <w:rsid w:val="005E6E11"/>
    <w:rsid w:val="006025F3"/>
    <w:rsid w:val="00606B18"/>
    <w:rsid w:val="00607B54"/>
    <w:rsid w:val="00607F4C"/>
    <w:rsid w:val="00612674"/>
    <w:rsid w:val="00625E4D"/>
    <w:rsid w:val="00626B51"/>
    <w:rsid w:val="00630E93"/>
    <w:rsid w:val="0063728D"/>
    <w:rsid w:val="00640FB2"/>
    <w:rsid w:val="006410D5"/>
    <w:rsid w:val="0064141A"/>
    <w:rsid w:val="00647D1B"/>
    <w:rsid w:val="006A44AB"/>
    <w:rsid w:val="006B6DFE"/>
    <w:rsid w:val="006F4154"/>
    <w:rsid w:val="006F7AB4"/>
    <w:rsid w:val="00703D50"/>
    <w:rsid w:val="007146CE"/>
    <w:rsid w:val="00717C2A"/>
    <w:rsid w:val="00721EAB"/>
    <w:rsid w:val="007225BB"/>
    <w:rsid w:val="007432A9"/>
    <w:rsid w:val="007458B1"/>
    <w:rsid w:val="00750003"/>
    <w:rsid w:val="007551C9"/>
    <w:rsid w:val="007728F8"/>
    <w:rsid w:val="00782197"/>
    <w:rsid w:val="00782857"/>
    <w:rsid w:val="00787E26"/>
    <w:rsid w:val="00795D7B"/>
    <w:rsid w:val="007A2ADC"/>
    <w:rsid w:val="007A3E8B"/>
    <w:rsid w:val="007B7136"/>
    <w:rsid w:val="007B7C98"/>
    <w:rsid w:val="007C4BC7"/>
    <w:rsid w:val="007D1079"/>
    <w:rsid w:val="007D12C7"/>
    <w:rsid w:val="007E0F02"/>
    <w:rsid w:val="007E791D"/>
    <w:rsid w:val="007F1386"/>
    <w:rsid w:val="007F2E26"/>
    <w:rsid w:val="007F60C5"/>
    <w:rsid w:val="007F65BC"/>
    <w:rsid w:val="00801856"/>
    <w:rsid w:val="0080454F"/>
    <w:rsid w:val="00804C5B"/>
    <w:rsid w:val="00812818"/>
    <w:rsid w:val="00814127"/>
    <w:rsid w:val="00816BA4"/>
    <w:rsid w:val="00821820"/>
    <w:rsid w:val="00841797"/>
    <w:rsid w:val="00847A50"/>
    <w:rsid w:val="00876931"/>
    <w:rsid w:val="0088281D"/>
    <w:rsid w:val="008A4F78"/>
    <w:rsid w:val="008A5EA1"/>
    <w:rsid w:val="008B3D5C"/>
    <w:rsid w:val="008B5CDB"/>
    <w:rsid w:val="008D1589"/>
    <w:rsid w:val="008D3706"/>
    <w:rsid w:val="008D7C37"/>
    <w:rsid w:val="008E0E0C"/>
    <w:rsid w:val="009236B5"/>
    <w:rsid w:val="00932922"/>
    <w:rsid w:val="009347A1"/>
    <w:rsid w:val="00954559"/>
    <w:rsid w:val="00957F41"/>
    <w:rsid w:val="00965E76"/>
    <w:rsid w:val="009727D4"/>
    <w:rsid w:val="00987551"/>
    <w:rsid w:val="0098756D"/>
    <w:rsid w:val="009977CA"/>
    <w:rsid w:val="009A2B64"/>
    <w:rsid w:val="009B3434"/>
    <w:rsid w:val="009B4A27"/>
    <w:rsid w:val="009C2775"/>
    <w:rsid w:val="009C5CA0"/>
    <w:rsid w:val="009D6605"/>
    <w:rsid w:val="00A30996"/>
    <w:rsid w:val="00A70492"/>
    <w:rsid w:val="00A77800"/>
    <w:rsid w:val="00A9179E"/>
    <w:rsid w:val="00AA39AB"/>
    <w:rsid w:val="00AB5BC3"/>
    <w:rsid w:val="00AC7BA6"/>
    <w:rsid w:val="00AD35BF"/>
    <w:rsid w:val="00AE1ED5"/>
    <w:rsid w:val="00AE7969"/>
    <w:rsid w:val="00B05A74"/>
    <w:rsid w:val="00B10615"/>
    <w:rsid w:val="00B1795C"/>
    <w:rsid w:val="00B25A77"/>
    <w:rsid w:val="00B3356E"/>
    <w:rsid w:val="00B35B7D"/>
    <w:rsid w:val="00B53EDD"/>
    <w:rsid w:val="00B6419F"/>
    <w:rsid w:val="00B81585"/>
    <w:rsid w:val="00B85CCF"/>
    <w:rsid w:val="00B953D2"/>
    <w:rsid w:val="00BA3FD3"/>
    <w:rsid w:val="00BC6524"/>
    <w:rsid w:val="00BD2DA9"/>
    <w:rsid w:val="00BD33FE"/>
    <w:rsid w:val="00BF51B5"/>
    <w:rsid w:val="00BF72CE"/>
    <w:rsid w:val="00C05199"/>
    <w:rsid w:val="00C24E86"/>
    <w:rsid w:val="00C47909"/>
    <w:rsid w:val="00C54472"/>
    <w:rsid w:val="00C5591D"/>
    <w:rsid w:val="00C663F0"/>
    <w:rsid w:val="00C67800"/>
    <w:rsid w:val="00C853CB"/>
    <w:rsid w:val="00CB77FB"/>
    <w:rsid w:val="00CB7CF3"/>
    <w:rsid w:val="00CC4D8F"/>
    <w:rsid w:val="00CD3182"/>
    <w:rsid w:val="00D1666C"/>
    <w:rsid w:val="00D200E4"/>
    <w:rsid w:val="00D272B2"/>
    <w:rsid w:val="00D31A72"/>
    <w:rsid w:val="00D32625"/>
    <w:rsid w:val="00D33B3A"/>
    <w:rsid w:val="00D373C2"/>
    <w:rsid w:val="00D401AE"/>
    <w:rsid w:val="00D436DF"/>
    <w:rsid w:val="00D51773"/>
    <w:rsid w:val="00D56C4A"/>
    <w:rsid w:val="00D611B1"/>
    <w:rsid w:val="00D91CFD"/>
    <w:rsid w:val="00D976D2"/>
    <w:rsid w:val="00DD6F38"/>
    <w:rsid w:val="00DD78E4"/>
    <w:rsid w:val="00DE07F8"/>
    <w:rsid w:val="00DF06C7"/>
    <w:rsid w:val="00DF3FEC"/>
    <w:rsid w:val="00E02DA1"/>
    <w:rsid w:val="00E141A1"/>
    <w:rsid w:val="00E20656"/>
    <w:rsid w:val="00E22B3C"/>
    <w:rsid w:val="00E315E5"/>
    <w:rsid w:val="00E42A1B"/>
    <w:rsid w:val="00E5135F"/>
    <w:rsid w:val="00E8471E"/>
    <w:rsid w:val="00EA4ED9"/>
    <w:rsid w:val="00EA7367"/>
    <w:rsid w:val="00EB2BC1"/>
    <w:rsid w:val="00EB6C1B"/>
    <w:rsid w:val="00EC29C2"/>
    <w:rsid w:val="00ED6165"/>
    <w:rsid w:val="00EE613A"/>
    <w:rsid w:val="00EF1D03"/>
    <w:rsid w:val="00EF7C2E"/>
    <w:rsid w:val="00F00F7D"/>
    <w:rsid w:val="00F0467E"/>
    <w:rsid w:val="00F23F47"/>
    <w:rsid w:val="00F334C4"/>
    <w:rsid w:val="00F3547C"/>
    <w:rsid w:val="00F3639A"/>
    <w:rsid w:val="00F44805"/>
    <w:rsid w:val="00F551C2"/>
    <w:rsid w:val="00F61EBA"/>
    <w:rsid w:val="00F671CB"/>
    <w:rsid w:val="00F80BE2"/>
    <w:rsid w:val="00F8112A"/>
    <w:rsid w:val="00F81CFD"/>
    <w:rsid w:val="00F83725"/>
    <w:rsid w:val="00F957CA"/>
    <w:rsid w:val="00F9711C"/>
    <w:rsid w:val="00FB4475"/>
    <w:rsid w:val="00FB7F02"/>
    <w:rsid w:val="00FC1EC8"/>
    <w:rsid w:val="00FC67FA"/>
    <w:rsid w:val="00FC6DF7"/>
    <w:rsid w:val="00FD5534"/>
    <w:rsid w:val="00FE164C"/>
    <w:rsid w:val="00FF2919"/>
    <w:rsid w:val="01561871"/>
    <w:rsid w:val="02EF5CDD"/>
    <w:rsid w:val="03FD4132"/>
    <w:rsid w:val="04BA0275"/>
    <w:rsid w:val="091A7217"/>
    <w:rsid w:val="0967211C"/>
    <w:rsid w:val="09F60228"/>
    <w:rsid w:val="0A534931"/>
    <w:rsid w:val="0AF85654"/>
    <w:rsid w:val="0DA24EF8"/>
    <w:rsid w:val="0EDF2573"/>
    <w:rsid w:val="10363C6A"/>
    <w:rsid w:val="12701A66"/>
    <w:rsid w:val="13887B76"/>
    <w:rsid w:val="142F67E5"/>
    <w:rsid w:val="166560CF"/>
    <w:rsid w:val="17E256C1"/>
    <w:rsid w:val="18DD55B5"/>
    <w:rsid w:val="19D77A5D"/>
    <w:rsid w:val="1E362714"/>
    <w:rsid w:val="226313F1"/>
    <w:rsid w:val="237F2A0C"/>
    <w:rsid w:val="2593624D"/>
    <w:rsid w:val="26586994"/>
    <w:rsid w:val="26E913B7"/>
    <w:rsid w:val="29BA7201"/>
    <w:rsid w:val="29BC581C"/>
    <w:rsid w:val="2A6D21BB"/>
    <w:rsid w:val="2C5065FB"/>
    <w:rsid w:val="2C7566AC"/>
    <w:rsid w:val="2CAD496A"/>
    <w:rsid w:val="2CE042C8"/>
    <w:rsid w:val="2DA44CA5"/>
    <w:rsid w:val="2E840E29"/>
    <w:rsid w:val="2FD24363"/>
    <w:rsid w:val="2FFC5231"/>
    <w:rsid w:val="308F03EA"/>
    <w:rsid w:val="30A43AE3"/>
    <w:rsid w:val="30F66A79"/>
    <w:rsid w:val="311F308B"/>
    <w:rsid w:val="32252923"/>
    <w:rsid w:val="33745A1B"/>
    <w:rsid w:val="339715FE"/>
    <w:rsid w:val="34A2796A"/>
    <w:rsid w:val="37B7226F"/>
    <w:rsid w:val="382C4471"/>
    <w:rsid w:val="39A11D4E"/>
    <w:rsid w:val="39A53DDA"/>
    <w:rsid w:val="3CD51485"/>
    <w:rsid w:val="3D0B4C3A"/>
    <w:rsid w:val="3D8C7B73"/>
    <w:rsid w:val="3E4C1002"/>
    <w:rsid w:val="401F289E"/>
    <w:rsid w:val="41A53092"/>
    <w:rsid w:val="421B6683"/>
    <w:rsid w:val="42BA783D"/>
    <w:rsid w:val="437A7DF4"/>
    <w:rsid w:val="446217B4"/>
    <w:rsid w:val="447D64C0"/>
    <w:rsid w:val="44C85F82"/>
    <w:rsid w:val="45EF0E26"/>
    <w:rsid w:val="477A0BC3"/>
    <w:rsid w:val="4A2E1BD1"/>
    <w:rsid w:val="4AC84139"/>
    <w:rsid w:val="4C1057FD"/>
    <w:rsid w:val="4CEF518C"/>
    <w:rsid w:val="4E93473E"/>
    <w:rsid w:val="507B6BB8"/>
    <w:rsid w:val="5227510E"/>
    <w:rsid w:val="52631DAC"/>
    <w:rsid w:val="5294522F"/>
    <w:rsid w:val="53A41E4D"/>
    <w:rsid w:val="54877909"/>
    <w:rsid w:val="55A14761"/>
    <w:rsid w:val="58831748"/>
    <w:rsid w:val="58FF53CC"/>
    <w:rsid w:val="5B392E17"/>
    <w:rsid w:val="5B3A392E"/>
    <w:rsid w:val="5B3D1052"/>
    <w:rsid w:val="5DA43ACF"/>
    <w:rsid w:val="5E150EB9"/>
    <w:rsid w:val="5E9266D5"/>
    <w:rsid w:val="5EA378F9"/>
    <w:rsid w:val="5F1F240D"/>
    <w:rsid w:val="5FEE7D8D"/>
    <w:rsid w:val="60C06B5C"/>
    <w:rsid w:val="60E65FED"/>
    <w:rsid w:val="610F61B5"/>
    <w:rsid w:val="62D63A44"/>
    <w:rsid w:val="63197DA1"/>
    <w:rsid w:val="645E251B"/>
    <w:rsid w:val="671B1623"/>
    <w:rsid w:val="68DF4D95"/>
    <w:rsid w:val="68F27821"/>
    <w:rsid w:val="68F9154B"/>
    <w:rsid w:val="6A736345"/>
    <w:rsid w:val="6D5F60B4"/>
    <w:rsid w:val="6E225496"/>
    <w:rsid w:val="6EB65CB3"/>
    <w:rsid w:val="6F83245B"/>
    <w:rsid w:val="70C86012"/>
    <w:rsid w:val="70F46A6F"/>
    <w:rsid w:val="71211F2C"/>
    <w:rsid w:val="715C68B2"/>
    <w:rsid w:val="717402AD"/>
    <w:rsid w:val="7179774D"/>
    <w:rsid w:val="7216440C"/>
    <w:rsid w:val="72CC6DB2"/>
    <w:rsid w:val="736F7885"/>
    <w:rsid w:val="73E02350"/>
    <w:rsid w:val="73EF5C97"/>
    <w:rsid w:val="74611DDA"/>
    <w:rsid w:val="751169F6"/>
    <w:rsid w:val="780D6A49"/>
    <w:rsid w:val="78525495"/>
    <w:rsid w:val="78A566FB"/>
    <w:rsid w:val="78ED40D1"/>
    <w:rsid w:val="79404C19"/>
    <w:rsid w:val="7A5C3FD5"/>
    <w:rsid w:val="7AB94174"/>
    <w:rsid w:val="7AE2764A"/>
    <w:rsid w:val="7D4D6DF5"/>
    <w:rsid w:val="7F0D2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numPr>
        <w:ilvl w:val="2"/>
        <w:numId w:val="1"/>
      </w:numPr>
      <w:spacing w:before="260" w:after="260" w:line="360" w:lineRule="auto"/>
      <w:outlineLvl w:val="2"/>
    </w:pPr>
    <w:rPr>
      <w:rFonts w:eastAsia="微软雅黑"/>
      <w:b/>
      <w:sz w:val="32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7"/>
    <w:qFormat/>
    <w:uiPriority w:val="0"/>
    <w:pPr>
      <w:jc w:val="left"/>
    </w:pPr>
  </w:style>
  <w:style w:type="paragraph" w:styleId="4">
    <w:name w:val="Body Text"/>
    <w:basedOn w:val="1"/>
    <w:link w:val="20"/>
    <w:qFormat/>
    <w:uiPriority w:val="1"/>
    <w:pPr>
      <w:spacing w:before="45"/>
      <w:ind w:left="115"/>
      <w:jc w:val="left"/>
    </w:pPr>
    <w:rPr>
      <w:rFonts w:ascii="宋体" w:hAnsi="宋体" w:eastAsia="宋体"/>
      <w:kern w:val="0"/>
      <w:sz w:val="30"/>
      <w:szCs w:val="30"/>
      <w:lang w:eastAsia="en-US"/>
    </w:rPr>
  </w:style>
  <w:style w:type="paragraph" w:styleId="5">
    <w:name w:val="Balloon Text"/>
    <w:basedOn w:val="1"/>
    <w:link w:val="19"/>
    <w:qFormat/>
    <w:uiPriority w:val="0"/>
    <w:rPr>
      <w:sz w:val="18"/>
      <w:szCs w:val="18"/>
    </w:rPr>
  </w:style>
  <w:style w:type="paragraph" w:styleId="6">
    <w:name w:val="footer"/>
    <w:basedOn w:val="1"/>
    <w:link w:val="16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annotation subject"/>
    <w:basedOn w:val="3"/>
    <w:next w:val="3"/>
    <w:link w:val="18"/>
    <w:qFormat/>
    <w:uiPriority w:val="0"/>
    <w:rPr>
      <w:b/>
      <w:bCs/>
    </w:rPr>
  </w:style>
  <w:style w:type="table" w:styleId="10">
    <w:name w:val="Table Grid"/>
    <w:basedOn w:val="9"/>
    <w:unhideWhenUsed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annotation reference"/>
    <w:basedOn w:val="11"/>
    <w:qFormat/>
    <w:uiPriority w:val="0"/>
    <w:rPr>
      <w:sz w:val="21"/>
      <w:szCs w:val="21"/>
    </w:rPr>
  </w:style>
  <w:style w:type="paragraph" w:styleId="14">
    <w:name w:val="List Paragraph"/>
    <w:basedOn w:val="1"/>
    <w:qFormat/>
    <w:uiPriority w:val="99"/>
    <w:pPr>
      <w:ind w:firstLine="420" w:firstLineChars="200"/>
    </w:pPr>
  </w:style>
  <w:style w:type="character" w:customStyle="1" w:styleId="15">
    <w:name w:val="页眉 Char"/>
    <w:basedOn w:val="11"/>
    <w:link w:val="7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1"/>
    <w:link w:val="6"/>
    <w:qFormat/>
    <w:uiPriority w:val="99"/>
    <w:rPr>
      <w:kern w:val="2"/>
      <w:sz w:val="18"/>
      <w:szCs w:val="18"/>
    </w:rPr>
  </w:style>
  <w:style w:type="character" w:customStyle="1" w:styleId="17">
    <w:name w:val="批注文字 Char"/>
    <w:basedOn w:val="11"/>
    <w:link w:val="3"/>
    <w:qFormat/>
    <w:uiPriority w:val="0"/>
    <w:rPr>
      <w:kern w:val="2"/>
      <w:sz w:val="21"/>
      <w:szCs w:val="24"/>
    </w:rPr>
  </w:style>
  <w:style w:type="character" w:customStyle="1" w:styleId="18">
    <w:name w:val="批注主题 Char"/>
    <w:basedOn w:val="17"/>
    <w:link w:val="8"/>
    <w:qFormat/>
    <w:uiPriority w:val="0"/>
    <w:rPr>
      <w:b/>
      <w:bCs/>
      <w:kern w:val="2"/>
      <w:sz w:val="21"/>
      <w:szCs w:val="24"/>
    </w:rPr>
  </w:style>
  <w:style w:type="character" w:customStyle="1" w:styleId="19">
    <w:name w:val="批注框文本 Char"/>
    <w:basedOn w:val="11"/>
    <w:link w:val="5"/>
    <w:qFormat/>
    <w:uiPriority w:val="0"/>
    <w:rPr>
      <w:kern w:val="2"/>
      <w:sz w:val="18"/>
      <w:szCs w:val="18"/>
    </w:rPr>
  </w:style>
  <w:style w:type="character" w:customStyle="1" w:styleId="20">
    <w:name w:val="正文文本 Char"/>
    <w:basedOn w:val="11"/>
    <w:link w:val="4"/>
    <w:qFormat/>
    <w:uiPriority w:val="1"/>
    <w:rPr>
      <w:rFonts w:ascii="宋体" w:hAnsi="宋体" w:eastAsia="宋体"/>
      <w:sz w:val="30"/>
      <w:szCs w:val="30"/>
      <w:lang w:eastAsia="en-US"/>
    </w:rPr>
  </w:style>
  <w:style w:type="paragraph" w:customStyle="1" w:styleId="21">
    <w:name w:val="Table Paragraph"/>
    <w:basedOn w:val="1"/>
    <w:unhideWhenUsed/>
    <w:qFormat/>
    <w:uiPriority w:val="1"/>
    <w:rPr>
      <w:rFonts w:ascii="Calibri" w:hAnsi="Calibri" w:eastAsia="宋体" w:cs="Times New Roman"/>
      <w:sz w:val="24"/>
      <w:szCs w:val="20"/>
    </w:rPr>
  </w:style>
  <w:style w:type="character" w:customStyle="1" w:styleId="22">
    <w:name w:val="font41"/>
    <w:basedOn w:val="1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3">
    <w:name w:val="font21"/>
    <w:basedOn w:val="11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paragraph" w:customStyle="1" w:styleId="24">
    <w:name w:val="正文1"/>
    <w:basedOn w:val="25"/>
    <w:qFormat/>
    <w:uiPriority w:val="0"/>
    <w:rPr>
      <w:rFonts w:cs="宋体"/>
    </w:rPr>
  </w:style>
  <w:style w:type="paragraph" w:customStyle="1" w:styleId="25">
    <w:name w:val="正文_1"/>
    <w:basedOn w:val="26"/>
    <w:qFormat/>
    <w:uiPriority w:val="0"/>
    <w:rPr>
      <w:rFonts w:cs="Calibri"/>
      <w:szCs w:val="21"/>
    </w:rPr>
  </w:style>
  <w:style w:type="paragraph" w:customStyle="1" w:styleId="26">
    <w:name w:val="正文_2"/>
    <w:basedOn w:val="27"/>
    <w:next w:val="33"/>
    <w:qFormat/>
    <w:uiPriority w:val="0"/>
  </w:style>
  <w:style w:type="paragraph" w:customStyle="1" w:styleId="27">
    <w:name w:val="正文_3"/>
    <w:next w:val="28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8">
    <w:name w:val="正文文本_1"/>
    <w:basedOn w:val="29"/>
    <w:qFormat/>
    <w:uiPriority w:val="0"/>
    <w:pPr>
      <w:spacing w:after="120"/>
    </w:pPr>
    <w:rPr>
      <w:rFonts w:eastAsia="宋体" w:cs="Times New Roman"/>
    </w:rPr>
  </w:style>
  <w:style w:type="paragraph" w:customStyle="1" w:styleId="29">
    <w:name w:val="正文_2_0"/>
    <w:basedOn w:val="30"/>
    <w:next w:val="28"/>
    <w:qFormat/>
    <w:uiPriority w:val="0"/>
    <w:rPr>
      <w:rFonts w:ascii="Calibri" w:hAnsi="Calibri"/>
      <w:sz w:val="21"/>
      <w:lang w:eastAsia="zh-CN"/>
    </w:rPr>
  </w:style>
  <w:style w:type="paragraph" w:customStyle="1" w:styleId="30">
    <w:name w:val="正文_3_0"/>
    <w:basedOn w:val="31"/>
    <w:qFormat/>
    <w:uiPriority w:val="0"/>
    <w:pPr>
      <w:autoSpaceDE w:val="0"/>
      <w:autoSpaceDN w:val="0"/>
    </w:pPr>
    <w:rPr>
      <w:rFonts w:ascii="仿宋" w:hAnsi="仿宋" w:eastAsia="仿宋" w:cs="仿宋"/>
      <w:sz w:val="22"/>
      <w:lang w:eastAsia="en-US"/>
    </w:rPr>
  </w:style>
  <w:style w:type="paragraph" w:customStyle="1" w:styleId="31">
    <w:name w:val="正文_4_0"/>
    <w:basedOn w:val="32"/>
    <w:qFormat/>
    <w:uiPriority w:val="0"/>
  </w:style>
  <w:style w:type="paragraph" w:customStyle="1" w:styleId="32">
    <w:name w:val="正文_4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3">
    <w:name w:val="无间隔1"/>
    <w:basedOn w:val="1"/>
    <w:next w:val="34"/>
    <w:qFormat/>
    <w:uiPriority w:val="1"/>
  </w:style>
  <w:style w:type="paragraph" w:customStyle="1" w:styleId="34">
    <w:name w:val="样式 标题 3 + (中文) 黑体 小四 非加粗 段前: 7.8 磅 段后: 0 磅 行距: 固定值 20 磅"/>
    <w:basedOn w:val="2"/>
    <w:qFormat/>
    <w:uiPriority w:val="0"/>
    <w:pPr>
      <w:spacing w:before="0" w:after="0" w:line="400" w:lineRule="exact"/>
    </w:pPr>
    <w:rPr>
      <w:rFonts w:eastAsia="黑体" w:cs="宋体"/>
      <w:b w:val="0"/>
      <w:sz w:val="21"/>
    </w:rPr>
  </w:style>
  <w:style w:type="paragraph" w:customStyle="1" w:styleId="35">
    <w:name w:val="KY1正文"/>
    <w:basedOn w:val="36"/>
    <w:autoRedefine/>
    <w:qFormat/>
    <w:uiPriority w:val="0"/>
    <w:pPr>
      <w:widowControl w:val="0"/>
      <w:snapToGrid w:val="0"/>
      <w:spacing w:beforeLines="50" w:afterLines="50" w:line="360" w:lineRule="auto"/>
      <w:ind w:firstLine="420"/>
      <w:contextualSpacing/>
      <w:jc w:val="both"/>
    </w:pPr>
    <w:rPr>
      <w:rFonts w:cstheme="minorEastAsia"/>
      <w:color w:val="000000" w:themeColor="text1"/>
      <w:sz w:val="24"/>
    </w:rPr>
  </w:style>
  <w:style w:type="paragraph" w:customStyle="1" w:styleId="36">
    <w:name w:val="!基准"/>
    <w:autoRedefine/>
    <w:qFormat/>
    <w:uiPriority w:val="5"/>
    <w:rPr>
      <w:rFonts w:ascii="Times New Roman" w:hAnsi="Times New Roman" w:eastAsia="宋体" w:cstheme="minorBidi"/>
      <w:kern w:val="2"/>
      <w:sz w:val="21"/>
      <w:szCs w:val="21"/>
      <w:lang w:val="en-US" w:eastAsia="zh-CN" w:bidi="ar-SA"/>
    </w:rPr>
  </w:style>
  <w:style w:type="character" w:customStyle="1" w:styleId="37">
    <w:name w:val="font61"/>
    <w:basedOn w:val="11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821D67-E9CC-4160-9AD5-1FA106D02AD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917</Words>
  <Characters>928</Characters>
  <Lines>6</Lines>
  <Paragraphs>1</Paragraphs>
  <TotalTime>40</TotalTime>
  <ScaleCrop>false</ScaleCrop>
  <LinksUpToDate>false</LinksUpToDate>
  <CharactersWithSpaces>932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2026-09-21T01:53:00Z</dcterms:created>
  <dc:creator>Administrator</dc:creator>
  <cp:lastModifiedBy>纳纳黛</cp:lastModifiedBy>
  <dcterms:modified xsi:type="dcterms:W3CDTF">2026-10-10T08:23:26Z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BF2C7EA0C34D4CCF948BB0F1DB837A73_13</vt:lpwstr>
  </property>
  <property fmtid="{D5CDD505-2E9C-101B-9397-08002B2CF9AE}" pid="4" name="KSOTemplateDocerSaveRecord">
    <vt:lpwstr>eyJoZGlkIjoiZTFlNTE4MWFkMTc1OTM1MTE0YzlkOWQ3OTNmNThhYzUiLCJ1c2VySWQiOiI1Mzk4NTA2NzEifQ==</vt:lpwstr>
  </property>
</Properties>
</file>