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1C265C">
      <w:pPr>
        <w:keepNext w:val="0"/>
        <w:keepLines w:val="0"/>
        <w:pageBreakBefore w:val="0"/>
        <w:widowControl/>
        <w:kinsoku/>
        <w:wordWrap/>
        <w:overflowPunct/>
        <w:topLinePunct w:val="0"/>
        <w:autoSpaceDE/>
        <w:autoSpaceDN/>
        <w:bidi w:val="0"/>
        <w:adjustRightInd/>
        <w:snapToGrid/>
        <w:spacing w:before="0" w:after="0" w:line="460" w:lineRule="exact"/>
        <w:jc w:val="center"/>
        <w:textAlignment w:val="auto"/>
        <w:outlineLvl w:val="9"/>
        <w:rPr>
          <w:rFonts w:hint="eastAsia" w:ascii="宋体" w:hAnsi="宋体" w:eastAsia="宋体" w:cs="宋体"/>
          <w:sz w:val="36"/>
          <w:szCs w:val="36"/>
        </w:rPr>
      </w:pPr>
      <w:r>
        <w:rPr>
          <w:rFonts w:hint="eastAsia" w:ascii="宋体" w:hAnsi="宋体" w:eastAsia="宋体" w:cs="宋体"/>
          <w:sz w:val="36"/>
          <w:szCs w:val="36"/>
        </w:rPr>
        <w:t>玉林市中医医院蛋白质组</w:t>
      </w:r>
      <w:r>
        <w:rPr>
          <w:rFonts w:hint="eastAsia" w:ascii="宋体" w:hAnsi="宋体" w:eastAsia="宋体" w:cs="宋体"/>
          <w:sz w:val="36"/>
          <w:szCs w:val="36"/>
          <w:lang w:val="en-US" w:eastAsia="zh-CN"/>
        </w:rPr>
        <w:t>和</w:t>
      </w:r>
      <w:r>
        <w:rPr>
          <w:rFonts w:hint="eastAsia" w:ascii="宋体" w:hAnsi="宋体" w:eastAsia="宋体" w:cs="宋体"/>
          <w:sz w:val="36"/>
          <w:szCs w:val="36"/>
        </w:rPr>
        <w:t>乳酰化修饰组学检测</w:t>
      </w:r>
    </w:p>
    <w:p w14:paraId="5F80D92B">
      <w:pPr>
        <w:keepNext w:val="0"/>
        <w:keepLines w:val="0"/>
        <w:pageBreakBefore w:val="0"/>
        <w:widowControl/>
        <w:kinsoku/>
        <w:wordWrap/>
        <w:overflowPunct/>
        <w:topLinePunct w:val="0"/>
        <w:autoSpaceDE/>
        <w:autoSpaceDN/>
        <w:bidi w:val="0"/>
        <w:adjustRightInd/>
        <w:snapToGrid/>
        <w:spacing w:before="0" w:after="0" w:line="460" w:lineRule="exact"/>
        <w:jc w:val="center"/>
        <w:textAlignment w:val="auto"/>
        <w:outlineLvl w:val="9"/>
        <w:rPr>
          <w:rFonts w:hint="eastAsia" w:ascii="宋体" w:hAnsi="宋体" w:eastAsia="宋体" w:cs="宋体"/>
          <w:color w:val="auto"/>
          <w:sz w:val="36"/>
          <w:szCs w:val="36"/>
        </w:rPr>
      </w:pPr>
      <w:r>
        <w:rPr>
          <w:rFonts w:hint="eastAsia" w:ascii="宋体" w:hAnsi="宋体" w:eastAsia="宋体" w:cs="宋体"/>
          <w:sz w:val="36"/>
          <w:szCs w:val="36"/>
          <w:lang w:val="en-US" w:eastAsia="zh-CN"/>
        </w:rPr>
        <w:t>服务</w:t>
      </w:r>
      <w:r>
        <w:rPr>
          <w:rFonts w:hint="eastAsia" w:ascii="宋体" w:hAnsi="宋体" w:eastAsia="宋体" w:cs="宋体"/>
          <w:sz w:val="36"/>
          <w:szCs w:val="36"/>
          <w:lang w:eastAsia="zh-CN"/>
        </w:rPr>
        <w:t>采购</w:t>
      </w:r>
      <w:r>
        <w:rPr>
          <w:rFonts w:hint="eastAsia" w:ascii="宋体" w:hAnsi="宋体" w:eastAsia="宋体" w:cs="宋体"/>
          <w:sz w:val="36"/>
          <w:szCs w:val="36"/>
        </w:rPr>
        <w:t>项目</w:t>
      </w:r>
      <w:r>
        <w:rPr>
          <w:rFonts w:hint="eastAsia" w:ascii="宋体" w:hAnsi="宋体" w:eastAsia="宋体" w:cs="宋体"/>
          <w:color w:val="auto"/>
          <w:sz w:val="36"/>
          <w:szCs w:val="36"/>
          <w:lang w:val="en-US" w:eastAsia="zh-CN"/>
        </w:rPr>
        <w:t>基本</w:t>
      </w:r>
      <w:r>
        <w:rPr>
          <w:rFonts w:hint="eastAsia" w:ascii="宋体" w:hAnsi="宋体" w:eastAsia="宋体" w:cs="宋体"/>
          <w:color w:val="auto"/>
          <w:sz w:val="36"/>
          <w:szCs w:val="36"/>
        </w:rPr>
        <w:t>需求</w:t>
      </w:r>
    </w:p>
    <w:p w14:paraId="45A383F4">
      <w:pPr>
        <w:keepNext w:val="0"/>
        <w:keepLines w:val="0"/>
        <w:pageBreakBefore w:val="0"/>
        <w:widowControl/>
        <w:kinsoku/>
        <w:wordWrap/>
        <w:overflowPunct/>
        <w:topLinePunct w:val="0"/>
        <w:autoSpaceDE/>
        <w:autoSpaceDN/>
        <w:bidi w:val="0"/>
        <w:adjustRightInd/>
        <w:snapToGrid/>
        <w:spacing w:after="0" w:line="460" w:lineRule="exact"/>
        <w:ind w:left="0" w:leftChars="0" w:firstLine="560" w:firstLineChars="200"/>
        <w:jc w:val="left"/>
        <w:textAlignment w:val="auto"/>
        <w:outlineLvl w:val="9"/>
        <w:rPr>
          <w:rFonts w:hint="eastAsia" w:ascii="宋体" w:hAnsi="宋体" w:eastAsia="宋体" w:cs="宋体"/>
          <w:color w:val="auto"/>
          <w:sz w:val="28"/>
          <w:szCs w:val="28"/>
        </w:rPr>
      </w:pPr>
    </w:p>
    <w:p w14:paraId="691EB022">
      <w:pPr>
        <w:keepNext w:val="0"/>
        <w:keepLines w:val="0"/>
        <w:pageBreakBefore w:val="0"/>
        <w:widowControl/>
        <w:kinsoku/>
        <w:wordWrap/>
        <w:overflowPunct/>
        <w:topLinePunct w:val="0"/>
        <w:autoSpaceDE/>
        <w:autoSpaceDN/>
        <w:bidi w:val="0"/>
        <w:adjustRightInd/>
        <w:snapToGrid/>
        <w:spacing w:before="0" w:after="0" w:line="460" w:lineRule="exact"/>
        <w:ind w:left="0" w:leftChars="0" w:firstLine="562" w:firstLineChars="200"/>
        <w:jc w:val="left"/>
        <w:textAlignment w:val="auto"/>
        <w:outlineLvl w:val="9"/>
        <w:rPr>
          <w:rFonts w:hint="eastAsia" w:ascii="宋体" w:hAnsi="宋体" w:eastAsia="宋体" w:cs="宋体"/>
          <w:b/>
          <w:bCs/>
          <w:color w:val="auto"/>
          <w:sz w:val="28"/>
          <w:szCs w:val="28"/>
        </w:rPr>
      </w:pPr>
      <w:r>
        <w:rPr>
          <w:rFonts w:hint="eastAsia" w:ascii="宋体" w:hAnsi="宋体" w:eastAsia="宋体" w:cs="宋体"/>
          <w:b/>
          <w:bCs/>
          <w:color w:val="auto"/>
          <w:sz w:val="28"/>
          <w:szCs w:val="28"/>
        </w:rPr>
        <w:t>1、</w:t>
      </w:r>
      <w:r>
        <w:rPr>
          <w:rFonts w:hint="eastAsia" w:ascii="宋体" w:hAnsi="宋体" w:eastAsia="宋体" w:cs="宋体"/>
          <w:b/>
          <w:bCs/>
          <w:color w:val="auto"/>
          <w:sz w:val="28"/>
          <w:szCs w:val="28"/>
          <w:lang w:eastAsia="zh-CN"/>
        </w:rPr>
        <w:t>蛋白质组检测服务项目</w:t>
      </w:r>
      <w:r>
        <w:rPr>
          <w:rFonts w:hint="eastAsia" w:ascii="宋体" w:hAnsi="宋体" w:eastAsia="宋体" w:cs="宋体"/>
          <w:b/>
          <w:bCs/>
          <w:color w:val="auto"/>
          <w:sz w:val="28"/>
          <w:szCs w:val="28"/>
        </w:rPr>
        <w:t>要求</w:t>
      </w:r>
      <w:bookmarkStart w:id="0" w:name="_GoBack"/>
      <w:bookmarkEnd w:id="0"/>
    </w:p>
    <w:p w14:paraId="648027D5">
      <w:pPr>
        <w:keepNext w:val="0"/>
        <w:keepLines w:val="0"/>
        <w:pageBreakBefore w:val="0"/>
        <w:widowControl/>
        <w:kinsoku/>
        <w:wordWrap/>
        <w:overflowPunct/>
        <w:topLinePunct w:val="0"/>
        <w:autoSpaceDE/>
        <w:autoSpaceDN/>
        <w:bidi w:val="0"/>
        <w:adjustRightInd/>
        <w:snapToGrid/>
        <w:spacing w:before="0" w:after="0" w:line="460" w:lineRule="exact"/>
        <w:ind w:left="0"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1.1 技术参数</w:t>
      </w:r>
    </w:p>
    <w:p w14:paraId="4E44C39D">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1.1.1 </w:t>
      </w:r>
      <w:r>
        <w:rPr>
          <w:rFonts w:hint="eastAsia" w:ascii="宋体" w:hAnsi="宋体" w:eastAsia="宋体" w:cs="宋体"/>
          <w:color w:val="auto"/>
          <w:sz w:val="28"/>
          <w:szCs w:val="28"/>
        </w:rPr>
        <w:t>对动物组织样本采用高灵敏度、高分辨率的液相色谱-串联质谱联用分析技术开展蛋白质组学检测，每例检测消耗样本量原则上不超过20mg；如采用更高灵敏度平台可适当降低样本消耗量。</w:t>
      </w:r>
    </w:p>
    <w:p w14:paraId="6BBD0C7E">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1.1.2 </w:t>
      </w:r>
      <w:r>
        <w:rPr>
          <w:rFonts w:hint="eastAsia" w:ascii="宋体" w:hAnsi="宋体" w:eastAsia="宋体" w:cs="宋体"/>
          <w:color w:val="auto"/>
          <w:sz w:val="28"/>
          <w:szCs w:val="28"/>
        </w:rPr>
        <w:t>对动物组织样本进行蛋白提取、定量及质控检测，对符合实验质量要求的蛋白采用胰蛋白酶进行酶解，酶解过程需有标准质控流程。</w:t>
      </w:r>
    </w:p>
    <w:p w14:paraId="7839E94A">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1.1.3 </w:t>
      </w:r>
      <w:r>
        <w:rPr>
          <w:rFonts w:hint="eastAsia" w:ascii="宋体" w:hAnsi="宋体" w:eastAsia="宋体" w:cs="宋体"/>
          <w:color w:val="auto"/>
          <w:sz w:val="28"/>
          <w:szCs w:val="28"/>
        </w:rPr>
        <w:t>技术方法要求：采用基于4D（保留时间、质荷比、离子淌度、信号强度）或更高维度的DIA（数据非依赖采集）定量蛋白质组学技术，配备纳升或微量液相色谱系统，实现高灵敏度、高深度、高重复性的蛋白质组定性与定量分析。</w:t>
      </w:r>
    </w:p>
    <w:p w14:paraId="426B1898">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1.1.4 </w:t>
      </w:r>
      <w:r>
        <w:rPr>
          <w:rFonts w:hint="eastAsia" w:ascii="宋体" w:hAnsi="宋体" w:eastAsia="宋体" w:cs="宋体"/>
          <w:color w:val="auto"/>
          <w:sz w:val="28"/>
          <w:szCs w:val="28"/>
        </w:rPr>
        <w:t>质谱数据检索可采用Spectronaut、DIA-NN、MaxDIA、Proteome Discoverer（含DIA模块）或其他业内公认的主流DIA数据分析软件；数据检索时默认控制错误发现率（FDR）在蛋白（Protein）、肽段（Peptide）、肽段谱图匹配（PSM）三个层面均设置为1%。</w:t>
      </w:r>
    </w:p>
    <w:p w14:paraId="64CC6473">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1.1.5 </w:t>
      </w:r>
      <w:r>
        <w:rPr>
          <w:rFonts w:hint="eastAsia" w:ascii="宋体" w:hAnsi="宋体" w:eastAsia="宋体" w:cs="宋体"/>
          <w:color w:val="auto"/>
          <w:sz w:val="28"/>
          <w:szCs w:val="28"/>
        </w:rPr>
        <w:t>对质谱鉴定结果需提供标准生物信息学分析，分析内容至少包括：</w:t>
      </w:r>
    </w:p>
    <w:p w14:paraId="7244A151">
      <w:pPr>
        <w:pStyle w:val="16"/>
        <w:keepNext w:val="0"/>
        <w:keepLines w:val="0"/>
        <w:pageBreakBefore w:val="0"/>
        <w:widowControl/>
        <w:numPr>
          <w:numId w:val="0"/>
        </w:numPr>
        <w:kinsoku/>
        <w:wordWrap/>
        <w:overflowPunct/>
        <w:topLinePunct w:val="0"/>
        <w:autoSpaceDE/>
        <w:autoSpaceDN/>
        <w:bidi w:val="0"/>
        <w:adjustRightInd/>
        <w:snapToGrid/>
        <w:spacing w:after="0" w:line="460" w:lineRule="exact"/>
        <w:ind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①质量控制分析：肽段长度分布、蛋白/肽段定量分布、定量重复性分析（RSD、Pearson相关系数）、定量PCA分析、蛋白/肽段强度值分布等；</w:t>
      </w:r>
    </w:p>
    <w:p w14:paraId="145AD7C8">
      <w:pPr>
        <w:pStyle w:val="16"/>
        <w:keepNext w:val="0"/>
        <w:keepLines w:val="0"/>
        <w:pageBreakBefore w:val="0"/>
        <w:widowControl/>
        <w:numPr>
          <w:numId w:val="0"/>
        </w:numPr>
        <w:kinsoku/>
        <w:wordWrap/>
        <w:overflowPunct/>
        <w:topLinePunct w:val="0"/>
        <w:autoSpaceDE/>
        <w:autoSpaceDN/>
        <w:bidi w:val="0"/>
        <w:adjustRightInd/>
        <w:snapToGrid/>
        <w:spacing w:after="0" w:line="460" w:lineRule="exact"/>
        <w:ind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②功能注释分析：蛋白功能描述、GO功能分类、蛋白结构域注释、KEGG通路注释、COG/KOG功能分类、亚细胞结构定位、Reactome通路注释、Wikipathways通路注释、Hallmark基因集注释、转录因子注释等；</w:t>
      </w:r>
    </w:p>
    <w:p w14:paraId="0DC993CE">
      <w:pPr>
        <w:pStyle w:val="16"/>
        <w:keepNext w:val="0"/>
        <w:keepLines w:val="0"/>
        <w:pageBreakBefore w:val="0"/>
        <w:widowControl/>
        <w:numPr>
          <w:numId w:val="0"/>
        </w:numPr>
        <w:kinsoku/>
        <w:wordWrap/>
        <w:overflowPunct/>
        <w:topLinePunct w:val="0"/>
        <w:autoSpaceDE/>
        <w:autoSpaceDN/>
        <w:bidi w:val="0"/>
        <w:adjustRightInd/>
        <w:snapToGrid/>
        <w:spacing w:after="0" w:line="460" w:lineRule="exact"/>
        <w:ind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③功能分类统计：GO二级分类统计、亚细胞结构注释分类统计、COG/KOG分类统计、KEGG功能分类统计；</w:t>
      </w:r>
    </w:p>
    <w:p w14:paraId="1375485C">
      <w:pPr>
        <w:pStyle w:val="16"/>
        <w:keepNext w:val="0"/>
        <w:keepLines w:val="0"/>
        <w:pageBreakBefore w:val="0"/>
        <w:widowControl/>
        <w:numPr>
          <w:numId w:val="0"/>
        </w:numPr>
        <w:kinsoku/>
        <w:wordWrap/>
        <w:overflowPunct/>
        <w:topLinePunct w:val="0"/>
        <w:autoSpaceDE/>
        <w:autoSpaceDN/>
        <w:bidi w:val="0"/>
        <w:adjustRightInd/>
        <w:snapToGrid/>
        <w:spacing w:after="0" w:line="460" w:lineRule="exact"/>
        <w:ind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④功能富集分析：GO富集、KEGG通路富集、蛋白结构域富集、Reactome通路富集、Wikipathways通路富集；</w:t>
      </w:r>
    </w:p>
    <w:p w14:paraId="63050F43">
      <w:pPr>
        <w:pStyle w:val="16"/>
        <w:keepNext w:val="0"/>
        <w:keepLines w:val="0"/>
        <w:pageBreakBefore w:val="0"/>
        <w:widowControl/>
        <w:numPr>
          <w:numId w:val="0"/>
        </w:numPr>
        <w:kinsoku/>
        <w:wordWrap/>
        <w:overflowPunct/>
        <w:topLinePunct w:val="0"/>
        <w:autoSpaceDE/>
        <w:autoSpaceDN/>
        <w:bidi w:val="0"/>
        <w:adjustRightInd/>
        <w:snapToGrid/>
        <w:spacing w:after="0" w:line="460" w:lineRule="exact"/>
        <w:ind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⑤富集聚类分析：GO富集聚类、KEGG通路富集聚类、蛋白结构域富集聚类、Reactome通路富集聚类、Wikipathways通路富集聚类；</w:t>
      </w:r>
    </w:p>
    <w:p w14:paraId="4C246C89">
      <w:pPr>
        <w:pStyle w:val="16"/>
        <w:keepNext w:val="0"/>
        <w:keepLines w:val="0"/>
        <w:pageBreakBefore w:val="0"/>
        <w:widowControl/>
        <w:numPr>
          <w:numId w:val="0"/>
        </w:numPr>
        <w:kinsoku/>
        <w:wordWrap/>
        <w:overflowPunct/>
        <w:topLinePunct w:val="0"/>
        <w:autoSpaceDE/>
        <w:autoSpaceDN/>
        <w:bidi w:val="0"/>
        <w:adjustRightInd/>
        <w:snapToGrid/>
        <w:spacing w:after="0" w:line="460" w:lineRule="exact"/>
        <w:ind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⑥网络分析：蛋白互作网络（PPI）构建与可视化。</w:t>
      </w:r>
    </w:p>
    <w:p w14:paraId="1FF387E8">
      <w:pPr>
        <w:keepNext w:val="0"/>
        <w:keepLines w:val="0"/>
        <w:pageBreakBefore w:val="0"/>
        <w:widowControl/>
        <w:kinsoku/>
        <w:wordWrap/>
        <w:overflowPunct/>
        <w:topLinePunct w:val="0"/>
        <w:autoSpaceDE/>
        <w:autoSpaceDN/>
        <w:bidi w:val="0"/>
        <w:adjustRightInd/>
        <w:snapToGrid/>
        <w:spacing w:before="0" w:after="0" w:line="460" w:lineRule="exact"/>
        <w:ind w:left="0"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1.2 质控标准</w:t>
      </w:r>
    </w:p>
    <w:p w14:paraId="6D7B24E4">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1.2.1 </w:t>
      </w:r>
      <w:r>
        <w:rPr>
          <w:rFonts w:hint="eastAsia" w:ascii="宋体" w:hAnsi="宋体" w:eastAsia="宋体" w:cs="宋体"/>
          <w:color w:val="auto"/>
          <w:sz w:val="28"/>
          <w:szCs w:val="28"/>
        </w:rPr>
        <w:t>酶切效率质控：漏切比率＜30%，含半胱氨酸（C）肽段占比＞15%。</w:t>
      </w:r>
    </w:p>
    <w:p w14:paraId="1723A4F0">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1.2.2 </w:t>
      </w:r>
      <w:r>
        <w:rPr>
          <w:rFonts w:hint="eastAsia" w:ascii="宋体" w:hAnsi="宋体" w:eastAsia="宋体" w:cs="宋体"/>
          <w:color w:val="auto"/>
          <w:sz w:val="28"/>
          <w:szCs w:val="28"/>
        </w:rPr>
        <w:t>各样品总质谱强度值（Intensity）偏差＜20%，确保样品间上样量均一性。</w:t>
      </w:r>
    </w:p>
    <w:p w14:paraId="73E4634A">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1.2.3 </w:t>
      </w:r>
      <w:r>
        <w:rPr>
          <w:rFonts w:hint="eastAsia" w:ascii="宋体" w:hAnsi="宋体" w:eastAsia="宋体" w:cs="宋体"/>
          <w:color w:val="auto"/>
          <w:sz w:val="28"/>
          <w:szCs w:val="28"/>
        </w:rPr>
        <w:t>质谱下机数据需满足以下质控要求：</w:t>
      </w:r>
    </w:p>
    <w:p w14:paraId="6FB7E2A8">
      <w:pPr>
        <w:pStyle w:val="16"/>
        <w:keepNext w:val="0"/>
        <w:keepLines w:val="0"/>
        <w:pageBreakBefore w:val="0"/>
        <w:widowControl/>
        <w:numPr>
          <w:numId w:val="0"/>
        </w:numPr>
        <w:kinsoku/>
        <w:wordWrap/>
        <w:overflowPunct/>
        <w:topLinePunct w:val="0"/>
        <w:autoSpaceDE/>
        <w:autoSpaceDN/>
        <w:bidi w:val="0"/>
        <w:adjustRightInd/>
        <w:snapToGrid/>
        <w:spacing w:after="0" w:line="460" w:lineRule="exact"/>
        <w:ind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①鉴定到的肽段长度主要分布在7-20个氨基酸范围内，符合胰酶酶解和质谱碎裂方式的一般规律；</w:t>
      </w:r>
    </w:p>
    <w:p w14:paraId="35621E54">
      <w:pPr>
        <w:pStyle w:val="16"/>
        <w:keepNext w:val="0"/>
        <w:keepLines w:val="0"/>
        <w:pageBreakBefore w:val="0"/>
        <w:widowControl/>
        <w:numPr>
          <w:numId w:val="0"/>
        </w:numPr>
        <w:kinsoku/>
        <w:wordWrap/>
        <w:overflowPunct/>
        <w:topLinePunct w:val="0"/>
        <w:autoSpaceDE/>
        <w:autoSpaceDN/>
        <w:bidi w:val="0"/>
        <w:adjustRightInd/>
        <w:snapToGrid/>
        <w:spacing w:after="0" w:line="460" w:lineRule="exact"/>
        <w:ind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②一级质谱质量误差分布需在10 ppm以内，保证质谱质量精度；</w:t>
      </w:r>
    </w:p>
    <w:p w14:paraId="15DE8607">
      <w:pPr>
        <w:pStyle w:val="16"/>
        <w:keepNext w:val="0"/>
        <w:keepLines w:val="0"/>
        <w:pageBreakBefore w:val="0"/>
        <w:widowControl/>
        <w:numPr>
          <w:numId w:val="0"/>
        </w:numPr>
        <w:kinsoku/>
        <w:wordWrap/>
        <w:overflowPunct/>
        <w:topLinePunct w:val="0"/>
        <w:autoSpaceDE/>
        <w:autoSpaceDN/>
        <w:bidi w:val="0"/>
        <w:adjustRightInd/>
        <w:snapToGrid/>
        <w:spacing w:after="0" w:line="460" w:lineRule="exact"/>
        <w:ind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③每批次实验需插入HeLa标准品或其他公认标准质控样本进行质控，标准样本间定量皮尔森相关系数（Pearson）大于0.9。</w:t>
      </w:r>
    </w:p>
    <w:p w14:paraId="188E9585">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1.3 </w:t>
      </w:r>
      <w:r>
        <w:rPr>
          <w:rFonts w:hint="eastAsia" w:ascii="宋体" w:hAnsi="宋体" w:eastAsia="宋体" w:cs="宋体"/>
          <w:color w:val="auto"/>
          <w:sz w:val="28"/>
          <w:szCs w:val="28"/>
        </w:rPr>
        <w:t>数据质量：蛋白序列检索采用业内公认的Uniprot/Swiss-Prot等主流公共蛋白质数据库，数据库版本需注明。</w:t>
      </w:r>
    </w:p>
    <w:p w14:paraId="367B753A">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1.4 </w:t>
      </w:r>
      <w:r>
        <w:rPr>
          <w:rFonts w:hint="eastAsia" w:ascii="宋体" w:hAnsi="宋体" w:eastAsia="宋体" w:cs="宋体"/>
          <w:color w:val="auto"/>
          <w:sz w:val="28"/>
          <w:szCs w:val="28"/>
        </w:rPr>
        <w:t>设备要求：投标方需配备4D及以上维度的高分辨质谱平台，包括但不限于timsTOF Pro系列、Orbitrap Exploris系列、Orbitrap Eclipse系列、TripleTOF/ZenoTOF系列或同等性能及更高性能的液相色谱-串联质谱系统；质谱分辨率、扫描速度、灵敏度等关键性能指标需满足4D DIA定量蛋白质组学检测要求，保证鉴定深度和定量准确性。</w:t>
      </w:r>
    </w:p>
    <w:p w14:paraId="154A2283">
      <w:pPr>
        <w:keepNext w:val="0"/>
        <w:keepLines w:val="0"/>
        <w:pageBreakBefore w:val="0"/>
        <w:widowControl/>
        <w:kinsoku/>
        <w:wordWrap/>
        <w:overflowPunct/>
        <w:topLinePunct w:val="0"/>
        <w:autoSpaceDE/>
        <w:autoSpaceDN/>
        <w:bidi w:val="0"/>
        <w:adjustRightInd/>
        <w:snapToGrid/>
        <w:spacing w:after="0" w:line="460" w:lineRule="exact"/>
        <w:ind w:left="0" w:leftChars="0" w:firstLine="560" w:firstLineChars="200"/>
        <w:jc w:val="left"/>
        <w:textAlignment w:val="auto"/>
        <w:outlineLvl w:val="9"/>
        <w:rPr>
          <w:rFonts w:hint="eastAsia" w:ascii="宋体" w:hAnsi="宋体" w:eastAsia="宋体" w:cs="宋体"/>
          <w:color w:val="auto"/>
          <w:sz w:val="28"/>
          <w:szCs w:val="28"/>
        </w:rPr>
      </w:pPr>
    </w:p>
    <w:p w14:paraId="42ED0296">
      <w:pPr>
        <w:keepNext w:val="0"/>
        <w:keepLines w:val="0"/>
        <w:pageBreakBefore w:val="0"/>
        <w:widowControl/>
        <w:kinsoku/>
        <w:wordWrap/>
        <w:overflowPunct/>
        <w:topLinePunct w:val="0"/>
        <w:autoSpaceDE/>
        <w:autoSpaceDN/>
        <w:bidi w:val="0"/>
        <w:adjustRightInd/>
        <w:snapToGrid/>
        <w:spacing w:before="0"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bCs/>
          <w:color w:val="auto"/>
          <w:sz w:val="28"/>
          <w:szCs w:val="28"/>
        </w:rPr>
        <w:t>2、</w:t>
      </w:r>
      <w:r>
        <w:rPr>
          <w:rFonts w:hint="eastAsia" w:ascii="宋体" w:hAnsi="宋体" w:eastAsia="宋体" w:cs="宋体"/>
          <w:b/>
          <w:bCs/>
          <w:color w:val="auto"/>
          <w:sz w:val="28"/>
          <w:szCs w:val="28"/>
          <w:lang w:eastAsia="zh-CN"/>
        </w:rPr>
        <w:t>乳酰化修饰组学检测服务项目</w:t>
      </w:r>
      <w:r>
        <w:rPr>
          <w:rFonts w:hint="eastAsia" w:ascii="宋体" w:hAnsi="宋体" w:eastAsia="宋体" w:cs="宋体"/>
          <w:b/>
          <w:bCs/>
          <w:color w:val="auto"/>
          <w:sz w:val="28"/>
          <w:szCs w:val="28"/>
        </w:rPr>
        <w:t>要求</w:t>
      </w:r>
    </w:p>
    <w:p w14:paraId="3ADF5276">
      <w:pPr>
        <w:keepNext w:val="0"/>
        <w:keepLines w:val="0"/>
        <w:pageBreakBefore w:val="0"/>
        <w:widowControl/>
        <w:kinsoku/>
        <w:wordWrap/>
        <w:overflowPunct/>
        <w:topLinePunct w:val="0"/>
        <w:autoSpaceDE/>
        <w:autoSpaceDN/>
        <w:bidi w:val="0"/>
        <w:adjustRightInd/>
        <w:snapToGrid/>
        <w:spacing w:before="0" w:after="0" w:line="460" w:lineRule="exact"/>
        <w:ind w:left="0"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2.1 技术参数</w:t>
      </w:r>
    </w:p>
    <w:p w14:paraId="1D5B113F">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2.1.1 </w:t>
      </w:r>
      <w:r>
        <w:rPr>
          <w:rFonts w:hint="eastAsia" w:ascii="宋体" w:hAnsi="宋体" w:eastAsia="宋体" w:cs="宋体"/>
          <w:color w:val="auto"/>
          <w:sz w:val="28"/>
          <w:szCs w:val="28"/>
        </w:rPr>
        <w:t>对动物组织样本进行蛋白提取、定量及质控检测，每例检测起始样本量原则上不超过100mg；如采用更高灵敏度富集方法可适当降低样本消耗量。对符合实验质量要求的蛋白采用胰蛋白酶进行酶解。</w:t>
      </w:r>
    </w:p>
    <w:p w14:paraId="6AD21E39">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2.1.2 </w:t>
      </w:r>
      <w:r>
        <w:rPr>
          <w:rFonts w:hint="eastAsia" w:ascii="宋体" w:hAnsi="宋体" w:eastAsia="宋体" w:cs="宋体"/>
          <w:color w:val="auto"/>
          <w:sz w:val="28"/>
          <w:szCs w:val="28"/>
        </w:rPr>
        <w:t>采用商业化乳酰化修饰特异性富集树脂（如PTM Biolabs乳酰化抗体树脂或其他经验证的等效富集试剂/方法）对乳酰化修饰肽段进行特异性富集，富集流程需有严格质控，保证修饰富集特异性。</w:t>
      </w:r>
    </w:p>
    <w:p w14:paraId="3376BD8A">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2.1.3 </w:t>
      </w:r>
      <w:r>
        <w:rPr>
          <w:rFonts w:hint="eastAsia" w:ascii="宋体" w:hAnsi="宋体" w:eastAsia="宋体" w:cs="宋体"/>
          <w:color w:val="auto"/>
          <w:sz w:val="28"/>
          <w:szCs w:val="28"/>
        </w:rPr>
        <w:t>技术方法要求：采用高深度修饰组学技术，基于4D及以上维度DIA数据采集模式开展高灵敏度、高分辨率的液相色谱-串联质谱分析，实现乳酰化修饰位点的深度鉴定与准确定量。</w:t>
      </w:r>
    </w:p>
    <w:p w14:paraId="192A10ED">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2.1.4 </w:t>
      </w:r>
      <w:r>
        <w:rPr>
          <w:rFonts w:hint="eastAsia" w:ascii="宋体" w:hAnsi="宋体" w:eastAsia="宋体" w:cs="宋体"/>
          <w:color w:val="auto"/>
          <w:sz w:val="28"/>
          <w:szCs w:val="28"/>
        </w:rPr>
        <w:t>质谱数据检索可采用Spectronaut、DIA-NN、MaxDIA、Proteome Discoverer（含DIA模块）或其他业内公认的主流DIA数据分析软件；数据检索时默认控制错误发现率（FDR）在蛋白（Protein）、肽段（Peptide）、肽段谱图匹配（PSM）、修饰位点（Site）四个层面均设置为1%。</w:t>
      </w:r>
    </w:p>
    <w:p w14:paraId="7FAD211C">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2.1.5 </w:t>
      </w:r>
      <w:r>
        <w:rPr>
          <w:rFonts w:hint="eastAsia" w:ascii="宋体" w:hAnsi="宋体" w:eastAsia="宋体" w:cs="宋体"/>
          <w:color w:val="auto"/>
          <w:sz w:val="28"/>
          <w:szCs w:val="28"/>
        </w:rPr>
        <w:t>对质谱鉴定结果需提供标准生物信息学分析，分析内容至少包括：</w:t>
      </w:r>
    </w:p>
    <w:p w14:paraId="1579CB27">
      <w:pPr>
        <w:pStyle w:val="16"/>
        <w:keepNext w:val="0"/>
        <w:keepLines w:val="0"/>
        <w:pageBreakBefore w:val="0"/>
        <w:widowControl/>
        <w:numPr>
          <w:numId w:val="0"/>
        </w:numPr>
        <w:kinsoku/>
        <w:wordWrap/>
        <w:overflowPunct/>
        <w:topLinePunct w:val="0"/>
        <w:autoSpaceDE/>
        <w:autoSpaceDN/>
        <w:bidi w:val="0"/>
        <w:adjustRightInd/>
        <w:snapToGrid/>
        <w:spacing w:after="0" w:line="460" w:lineRule="exact"/>
        <w:ind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①质量控制分析：肽段长度分布、修饰位点个数分布、修饰肽段/位点定量分布、定量重复性分析（RSD、Pearson相关系数）、定量PCA分析、修饰位点强度值分布等；</w:t>
      </w:r>
    </w:p>
    <w:p w14:paraId="2AEE1E1A">
      <w:pPr>
        <w:pStyle w:val="16"/>
        <w:keepNext w:val="0"/>
        <w:keepLines w:val="0"/>
        <w:pageBreakBefore w:val="0"/>
        <w:widowControl/>
        <w:numPr>
          <w:numId w:val="0"/>
        </w:numPr>
        <w:kinsoku/>
        <w:wordWrap/>
        <w:overflowPunct/>
        <w:topLinePunct w:val="0"/>
        <w:autoSpaceDE/>
        <w:autoSpaceDN/>
        <w:bidi w:val="0"/>
        <w:adjustRightInd/>
        <w:snapToGrid/>
        <w:spacing w:after="0" w:line="460" w:lineRule="exact"/>
        <w:ind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②功能注释分析：蛋白功能描述、GO功能分类、蛋白结构域注释、KEGG通路注释、COG/KOG功能分类、亚细胞结构定位、Reactome通路注释、Wikipathways通路注释、Hallmark基因集注释、转录因子注释等；</w:t>
      </w:r>
    </w:p>
    <w:p w14:paraId="76373025">
      <w:pPr>
        <w:pStyle w:val="16"/>
        <w:keepNext w:val="0"/>
        <w:keepLines w:val="0"/>
        <w:pageBreakBefore w:val="0"/>
        <w:widowControl/>
        <w:numPr>
          <w:numId w:val="0"/>
        </w:numPr>
        <w:kinsoku/>
        <w:wordWrap/>
        <w:overflowPunct/>
        <w:topLinePunct w:val="0"/>
        <w:autoSpaceDE/>
        <w:autoSpaceDN/>
        <w:bidi w:val="0"/>
        <w:adjustRightInd/>
        <w:snapToGrid/>
        <w:spacing w:after="0" w:line="460" w:lineRule="exact"/>
        <w:ind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③功能分类统计：GO二级分类统计、亚细胞结构注释分类统计、COG/KOG分类统计、KEGG功能分类统计；</w:t>
      </w:r>
    </w:p>
    <w:p w14:paraId="78BB7561">
      <w:pPr>
        <w:pStyle w:val="16"/>
        <w:keepNext w:val="0"/>
        <w:keepLines w:val="0"/>
        <w:pageBreakBefore w:val="0"/>
        <w:widowControl/>
        <w:numPr>
          <w:numId w:val="0"/>
        </w:numPr>
        <w:kinsoku/>
        <w:wordWrap/>
        <w:overflowPunct/>
        <w:topLinePunct w:val="0"/>
        <w:autoSpaceDE/>
        <w:autoSpaceDN/>
        <w:bidi w:val="0"/>
        <w:adjustRightInd/>
        <w:snapToGrid/>
        <w:spacing w:after="0" w:line="460" w:lineRule="exact"/>
        <w:ind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④功能富集分析：GO富集、KEGG通路富集、蛋白结构域富集、Reactome通路富集、Wikipathways通路富集；</w:t>
      </w:r>
    </w:p>
    <w:p w14:paraId="001C340E">
      <w:pPr>
        <w:pStyle w:val="16"/>
        <w:keepNext w:val="0"/>
        <w:keepLines w:val="0"/>
        <w:pageBreakBefore w:val="0"/>
        <w:widowControl/>
        <w:numPr>
          <w:numId w:val="0"/>
        </w:numPr>
        <w:kinsoku/>
        <w:wordWrap/>
        <w:overflowPunct/>
        <w:topLinePunct w:val="0"/>
        <w:autoSpaceDE/>
        <w:autoSpaceDN/>
        <w:bidi w:val="0"/>
        <w:adjustRightInd/>
        <w:snapToGrid/>
        <w:spacing w:after="0" w:line="460" w:lineRule="exact"/>
        <w:ind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⑤富集聚类分析：GO富集聚类、KEGG通路富集聚类、蛋白结构域富集聚类、Reactome通路富集聚类、Wikipathways通路富集聚类；</w:t>
      </w:r>
    </w:p>
    <w:p w14:paraId="121CD819">
      <w:pPr>
        <w:pStyle w:val="16"/>
        <w:keepNext w:val="0"/>
        <w:keepLines w:val="0"/>
        <w:pageBreakBefore w:val="0"/>
        <w:widowControl/>
        <w:numPr>
          <w:numId w:val="0"/>
        </w:numPr>
        <w:kinsoku/>
        <w:wordWrap/>
        <w:overflowPunct/>
        <w:topLinePunct w:val="0"/>
        <w:autoSpaceDE/>
        <w:autoSpaceDN/>
        <w:bidi w:val="0"/>
        <w:adjustRightInd/>
        <w:snapToGrid/>
        <w:spacing w:after="0" w:line="460" w:lineRule="exact"/>
        <w:ind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⑥修饰位点特征分析：修饰位点序列特征Motif分析；</w:t>
      </w:r>
    </w:p>
    <w:p w14:paraId="033AF444">
      <w:pPr>
        <w:pStyle w:val="16"/>
        <w:keepNext w:val="0"/>
        <w:keepLines w:val="0"/>
        <w:pageBreakBefore w:val="0"/>
        <w:widowControl/>
        <w:numPr>
          <w:numId w:val="0"/>
        </w:numPr>
        <w:kinsoku/>
        <w:wordWrap/>
        <w:overflowPunct/>
        <w:topLinePunct w:val="0"/>
        <w:autoSpaceDE/>
        <w:autoSpaceDN/>
        <w:bidi w:val="0"/>
        <w:adjustRightInd/>
        <w:snapToGrid/>
        <w:spacing w:after="0" w:line="460" w:lineRule="exact"/>
        <w:ind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⑦网络分析：蛋白互作网络（PPI）构建与可视化。</w:t>
      </w:r>
    </w:p>
    <w:p w14:paraId="42AF86AD">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2.1.6 </w:t>
      </w:r>
      <w:r>
        <w:rPr>
          <w:rFonts w:hint="eastAsia" w:ascii="宋体" w:hAnsi="宋体" w:eastAsia="宋体" w:cs="宋体"/>
          <w:color w:val="auto"/>
          <w:sz w:val="28"/>
          <w:szCs w:val="28"/>
        </w:rPr>
        <w:t>个性化生物信息分析支持：根据项目研究需求，可提供分子分型、机器学习特征筛选、分子对接、修饰位点所在结构域靶向药物预测、蛋白靶点可药性分析、网络药理学分析、分子动力学模拟、多组学/多模态集成机器学习等拓展分析支持，具体分析方案可由双方协商确定。</w:t>
      </w:r>
    </w:p>
    <w:p w14:paraId="2CBD802E">
      <w:pPr>
        <w:keepNext w:val="0"/>
        <w:keepLines w:val="0"/>
        <w:pageBreakBefore w:val="0"/>
        <w:widowControl/>
        <w:kinsoku/>
        <w:wordWrap/>
        <w:overflowPunct/>
        <w:topLinePunct w:val="0"/>
        <w:autoSpaceDE/>
        <w:autoSpaceDN/>
        <w:bidi w:val="0"/>
        <w:adjustRightInd/>
        <w:snapToGrid/>
        <w:spacing w:before="0" w:after="0" w:line="460" w:lineRule="exact"/>
        <w:ind w:left="0"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2.2 质控标准</w:t>
      </w:r>
    </w:p>
    <w:p w14:paraId="30ABFEF6">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2.2.1 </w:t>
      </w:r>
      <w:r>
        <w:rPr>
          <w:rFonts w:hint="eastAsia" w:ascii="宋体" w:hAnsi="宋体" w:eastAsia="宋体" w:cs="宋体"/>
          <w:color w:val="auto"/>
          <w:sz w:val="28"/>
          <w:szCs w:val="28"/>
        </w:rPr>
        <w:t>酶切效率质控：漏切比率＜30%，含半胱氨酸（C）肽段占比＞15%。</w:t>
      </w:r>
    </w:p>
    <w:p w14:paraId="5E67818B">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2.2.2 </w:t>
      </w:r>
      <w:r>
        <w:rPr>
          <w:rFonts w:hint="eastAsia" w:ascii="宋体" w:hAnsi="宋体" w:eastAsia="宋体" w:cs="宋体"/>
          <w:color w:val="auto"/>
          <w:sz w:val="28"/>
          <w:szCs w:val="28"/>
        </w:rPr>
        <w:t>质谱下机数据需满足以下质控要求：</w:t>
      </w:r>
    </w:p>
    <w:p w14:paraId="16954C3E">
      <w:pPr>
        <w:pStyle w:val="16"/>
        <w:keepNext w:val="0"/>
        <w:keepLines w:val="0"/>
        <w:pageBreakBefore w:val="0"/>
        <w:widowControl/>
        <w:numPr>
          <w:numId w:val="0"/>
        </w:numPr>
        <w:kinsoku/>
        <w:wordWrap/>
        <w:overflowPunct/>
        <w:topLinePunct w:val="0"/>
        <w:autoSpaceDE/>
        <w:autoSpaceDN/>
        <w:bidi w:val="0"/>
        <w:adjustRightInd/>
        <w:snapToGrid/>
        <w:spacing w:after="0" w:line="460" w:lineRule="exact"/>
        <w:ind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①鉴定到的肽段长度主要分布在7-20个氨基酸范围内，符合胰酶酶解和质谱碎裂方式的一般规律；</w:t>
      </w:r>
    </w:p>
    <w:p w14:paraId="26A8E0D7">
      <w:pPr>
        <w:pStyle w:val="16"/>
        <w:keepNext w:val="0"/>
        <w:keepLines w:val="0"/>
        <w:pageBreakBefore w:val="0"/>
        <w:widowControl/>
        <w:numPr>
          <w:numId w:val="0"/>
        </w:numPr>
        <w:kinsoku/>
        <w:wordWrap/>
        <w:overflowPunct/>
        <w:topLinePunct w:val="0"/>
        <w:autoSpaceDE/>
        <w:autoSpaceDN/>
        <w:bidi w:val="0"/>
        <w:adjustRightInd/>
        <w:snapToGrid/>
        <w:spacing w:after="0" w:line="460" w:lineRule="exact"/>
        <w:ind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②一级质谱质量误差分布需在10 ppm以内，保证质谱质量精度；</w:t>
      </w:r>
    </w:p>
    <w:p w14:paraId="46B6AB2F">
      <w:pPr>
        <w:pStyle w:val="16"/>
        <w:keepNext w:val="0"/>
        <w:keepLines w:val="0"/>
        <w:pageBreakBefore w:val="0"/>
        <w:widowControl/>
        <w:numPr>
          <w:numId w:val="0"/>
        </w:numPr>
        <w:kinsoku/>
        <w:wordWrap/>
        <w:overflowPunct/>
        <w:topLinePunct w:val="0"/>
        <w:autoSpaceDE/>
        <w:autoSpaceDN/>
        <w:bidi w:val="0"/>
        <w:adjustRightInd/>
        <w:snapToGrid/>
        <w:spacing w:after="0" w:line="460" w:lineRule="exact"/>
        <w:ind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③每批次实验需插入标准质控样本进行质控，标准样本间定量皮尔森相关系数（Pearson）大于0.9；</w:t>
      </w:r>
    </w:p>
    <w:p w14:paraId="7AF6AE65">
      <w:pPr>
        <w:pStyle w:val="16"/>
        <w:keepNext w:val="0"/>
        <w:keepLines w:val="0"/>
        <w:pageBreakBefore w:val="0"/>
        <w:widowControl/>
        <w:numPr>
          <w:numId w:val="0"/>
        </w:numPr>
        <w:kinsoku/>
        <w:wordWrap/>
        <w:overflowPunct/>
        <w:topLinePunct w:val="0"/>
        <w:autoSpaceDE/>
        <w:autoSpaceDN/>
        <w:bidi w:val="0"/>
        <w:adjustRightInd/>
        <w:snapToGrid/>
        <w:spacing w:after="0" w:line="460" w:lineRule="exact"/>
        <w:ind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④乳酰化修饰富集特异性需达到业内公认水平。</w:t>
      </w:r>
    </w:p>
    <w:p w14:paraId="0E71F550">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2.3 </w:t>
      </w:r>
      <w:r>
        <w:rPr>
          <w:rFonts w:hint="eastAsia" w:ascii="宋体" w:hAnsi="宋体" w:eastAsia="宋体" w:cs="宋体"/>
          <w:color w:val="auto"/>
          <w:sz w:val="28"/>
          <w:szCs w:val="28"/>
        </w:rPr>
        <w:t>数据质量：蛋白序列检索采用业内公认的Uniprot/Swiss-Prot等主流公共蛋白质数据库，数据库版本需注明。</w:t>
      </w:r>
    </w:p>
    <w:p w14:paraId="7EB729FA">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2.4 </w:t>
      </w:r>
      <w:r>
        <w:rPr>
          <w:rFonts w:hint="eastAsia" w:ascii="宋体" w:hAnsi="宋体" w:eastAsia="宋体" w:cs="宋体"/>
          <w:color w:val="auto"/>
          <w:sz w:val="28"/>
          <w:szCs w:val="28"/>
        </w:rPr>
        <w:t>设备要求：投标方需配备4D及以上维度的高分辨质谱平台，包括但不限于timsTOF Pro系列、Orbitrap Exploris系列、Orbitrap Eclipse系列、TripleTOF/ZenoTOF系列或同等性能及更高性能的液相色谱-串联质谱系统；质谱分辨率、扫描速度、灵敏度等关键性能指标需满足4D DIA乳酰化修饰组学检测要求，保证修饰位点鉴定深度和定量准确性。</w:t>
      </w:r>
    </w:p>
    <w:p w14:paraId="6359373D">
      <w:pPr>
        <w:keepNext w:val="0"/>
        <w:keepLines w:val="0"/>
        <w:pageBreakBefore w:val="0"/>
        <w:widowControl/>
        <w:kinsoku/>
        <w:wordWrap/>
        <w:overflowPunct/>
        <w:topLinePunct w:val="0"/>
        <w:autoSpaceDE/>
        <w:autoSpaceDN/>
        <w:bidi w:val="0"/>
        <w:adjustRightInd/>
        <w:snapToGrid/>
        <w:spacing w:after="0" w:line="460" w:lineRule="exact"/>
        <w:ind w:left="0" w:leftChars="0" w:firstLine="560" w:firstLineChars="200"/>
        <w:jc w:val="left"/>
        <w:textAlignment w:val="auto"/>
        <w:outlineLvl w:val="9"/>
        <w:rPr>
          <w:rFonts w:hint="eastAsia" w:ascii="宋体" w:hAnsi="宋体" w:eastAsia="宋体" w:cs="宋体"/>
          <w:color w:val="auto"/>
          <w:sz w:val="28"/>
          <w:szCs w:val="28"/>
        </w:rPr>
      </w:pPr>
    </w:p>
    <w:p w14:paraId="53625CED">
      <w:pPr>
        <w:keepNext w:val="0"/>
        <w:keepLines w:val="0"/>
        <w:pageBreakBefore w:val="0"/>
        <w:widowControl/>
        <w:kinsoku/>
        <w:wordWrap/>
        <w:overflowPunct/>
        <w:topLinePunct w:val="0"/>
        <w:autoSpaceDE/>
        <w:autoSpaceDN/>
        <w:bidi w:val="0"/>
        <w:adjustRightInd/>
        <w:snapToGrid/>
        <w:spacing w:before="0" w:after="0" w:line="460" w:lineRule="exact"/>
        <w:ind w:left="0"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3、数据安全要求</w:t>
      </w:r>
    </w:p>
    <w:p w14:paraId="77A1EF80">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3.1 </w:t>
      </w:r>
      <w:r>
        <w:rPr>
          <w:rFonts w:hint="eastAsia" w:ascii="宋体" w:hAnsi="宋体" w:eastAsia="宋体" w:cs="宋体"/>
          <w:color w:val="auto"/>
          <w:sz w:val="28"/>
          <w:szCs w:val="28"/>
        </w:rPr>
        <w:t>投标方需与采购方签署保密协议，对样本信息、实验原始数据、分析结果及相关科研信息严格保密，不得向任何第三方泄露。</w:t>
      </w:r>
    </w:p>
    <w:p w14:paraId="36EA0E9D">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3.2 </w:t>
      </w:r>
      <w:r>
        <w:rPr>
          <w:rFonts w:hint="eastAsia" w:ascii="宋体" w:hAnsi="宋体" w:eastAsia="宋体" w:cs="宋体"/>
          <w:color w:val="auto"/>
          <w:sz w:val="28"/>
          <w:szCs w:val="28"/>
        </w:rPr>
        <w:t>投标方需建立完善的数据安全管理制度，配备必要的数据存储与备份措施，防止数据泄露、损坏或丢失。</w:t>
      </w:r>
    </w:p>
    <w:p w14:paraId="6B327472">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3.3 </w:t>
      </w:r>
      <w:r>
        <w:rPr>
          <w:rFonts w:hint="eastAsia" w:ascii="宋体" w:hAnsi="宋体" w:eastAsia="宋体" w:cs="宋体"/>
          <w:color w:val="auto"/>
          <w:sz w:val="28"/>
          <w:szCs w:val="28"/>
        </w:rPr>
        <w:t>项目完成并交付所有成果后，投标方需按采购方要求在约定期限内删除或返还客户原始数据及中间文件（双方另有约定的除外）。</w:t>
      </w:r>
    </w:p>
    <w:p w14:paraId="29322E8E">
      <w:pPr>
        <w:keepNext w:val="0"/>
        <w:keepLines w:val="0"/>
        <w:pageBreakBefore w:val="0"/>
        <w:widowControl/>
        <w:kinsoku/>
        <w:wordWrap/>
        <w:overflowPunct/>
        <w:topLinePunct w:val="0"/>
        <w:autoSpaceDE/>
        <w:autoSpaceDN/>
        <w:bidi w:val="0"/>
        <w:adjustRightInd/>
        <w:snapToGrid/>
        <w:spacing w:after="0" w:line="460" w:lineRule="exact"/>
        <w:ind w:left="0" w:leftChars="0" w:firstLine="560" w:firstLineChars="200"/>
        <w:jc w:val="left"/>
        <w:textAlignment w:val="auto"/>
        <w:outlineLvl w:val="9"/>
        <w:rPr>
          <w:rFonts w:hint="eastAsia" w:ascii="宋体" w:hAnsi="宋体" w:eastAsia="宋体" w:cs="宋体"/>
          <w:color w:val="auto"/>
          <w:sz w:val="28"/>
          <w:szCs w:val="28"/>
        </w:rPr>
      </w:pPr>
    </w:p>
    <w:p w14:paraId="5FE02B01">
      <w:pPr>
        <w:keepNext w:val="0"/>
        <w:keepLines w:val="0"/>
        <w:pageBreakBefore w:val="0"/>
        <w:widowControl/>
        <w:kinsoku/>
        <w:wordWrap/>
        <w:overflowPunct/>
        <w:topLinePunct w:val="0"/>
        <w:autoSpaceDE/>
        <w:autoSpaceDN/>
        <w:bidi w:val="0"/>
        <w:adjustRightInd/>
        <w:snapToGrid/>
        <w:spacing w:before="0" w:after="0" w:line="460" w:lineRule="exact"/>
        <w:ind w:left="0"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4、售后服务与交付要求</w:t>
      </w:r>
    </w:p>
    <w:p w14:paraId="110EBED4">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4.1 </w:t>
      </w:r>
      <w:r>
        <w:rPr>
          <w:rFonts w:hint="eastAsia" w:ascii="宋体" w:hAnsi="宋体" w:eastAsia="宋体" w:cs="宋体"/>
          <w:color w:val="auto"/>
          <w:sz w:val="28"/>
          <w:szCs w:val="28"/>
        </w:rPr>
        <w:t>项目对接：项目执行期间需提供专属技术人员对接，因投标方人员更换导致的项目延误、沟通障碍或额外费用由投标方全额承担。</w:t>
      </w:r>
    </w:p>
    <w:p w14:paraId="472CBE74">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4.2 </w:t>
      </w:r>
      <w:r>
        <w:rPr>
          <w:rFonts w:hint="eastAsia" w:ascii="宋体" w:hAnsi="宋体" w:eastAsia="宋体" w:cs="宋体"/>
          <w:color w:val="auto"/>
          <w:sz w:val="28"/>
          <w:szCs w:val="28"/>
        </w:rPr>
        <w:t>服务周期：数据验收合格后，投标方需提供至少2年的免费售后服务，包含不少于2批次的全流程免费补充分析服务。</w:t>
      </w:r>
    </w:p>
    <w:p w14:paraId="5357B157">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4.3 </w:t>
      </w:r>
      <w:r>
        <w:rPr>
          <w:rFonts w:hint="eastAsia" w:ascii="宋体" w:hAnsi="宋体" w:eastAsia="宋体" w:cs="宋体"/>
          <w:color w:val="auto"/>
          <w:sz w:val="28"/>
          <w:szCs w:val="28"/>
        </w:rPr>
        <w:t>图表与审稿支持：根据采购方科研论文投稿杂志的要求，提供满足分辨率和格式要求的出版级图表；根据审稿人意见免费进行相关图表内容调整与补充分析。</w:t>
      </w:r>
    </w:p>
    <w:p w14:paraId="5C7C1EF9">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4.4 </w:t>
      </w:r>
      <w:r>
        <w:rPr>
          <w:rFonts w:hint="eastAsia" w:ascii="宋体" w:hAnsi="宋体" w:eastAsia="宋体" w:cs="宋体"/>
          <w:color w:val="auto"/>
          <w:sz w:val="28"/>
          <w:szCs w:val="28"/>
        </w:rPr>
        <w:t>技术响应：投标方需提供及时的技术支持，采购方提出问题后2小时内予以响应；投标方需在全国范围内具备专业销售与技术支持团队，通过上门服务、电话、邮件、在线会议等多种方式免费提供疑难问题解答、数据分析结果解读及相关技术指导。</w:t>
      </w:r>
    </w:p>
    <w:p w14:paraId="59EF87D9">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4.5 </w:t>
      </w:r>
      <w:r>
        <w:rPr>
          <w:rFonts w:hint="eastAsia" w:ascii="宋体" w:hAnsi="宋体" w:eastAsia="宋体" w:cs="宋体"/>
          <w:color w:val="auto"/>
          <w:sz w:val="28"/>
          <w:szCs w:val="28"/>
        </w:rPr>
        <w:t>质量保证：投标方保证实验数据的可靠性与可重复性，对数据质量及生物学解释提供专业支持；如样品质检合格但确因投标方实验操作或检测质量问题导致检测失败（未达到本需求约定的质控标准），投标方需免费为采购方进行同等数量样本的重复检测，不另行收取费用。</w:t>
      </w:r>
    </w:p>
    <w:p w14:paraId="2B449F24">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4.6 </w:t>
      </w:r>
      <w:r>
        <w:rPr>
          <w:rFonts w:hint="eastAsia" w:ascii="宋体" w:hAnsi="宋体" w:eastAsia="宋体" w:cs="宋体"/>
          <w:color w:val="auto"/>
          <w:sz w:val="28"/>
          <w:szCs w:val="28"/>
        </w:rPr>
        <w:t>完整服务流程：投标方需提供全流程服务，包含上门取样、样品接收与登记、样品预处理、样品质检、质谱检测、生物信息学分析、出具正式检测报告等完整环节。</w:t>
      </w:r>
    </w:p>
    <w:p w14:paraId="1737B9C7">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4.7 </w:t>
      </w:r>
      <w:r>
        <w:rPr>
          <w:rFonts w:hint="eastAsia" w:ascii="宋体" w:hAnsi="宋体" w:eastAsia="宋体" w:cs="宋体"/>
          <w:color w:val="auto"/>
          <w:sz w:val="28"/>
          <w:szCs w:val="28"/>
        </w:rPr>
        <w:t>交付成果要求：</w:t>
      </w:r>
    </w:p>
    <w:p w14:paraId="1C1ECD45">
      <w:pPr>
        <w:pStyle w:val="16"/>
        <w:keepNext w:val="0"/>
        <w:keepLines w:val="0"/>
        <w:pageBreakBefore w:val="0"/>
        <w:widowControl/>
        <w:numPr>
          <w:numId w:val="0"/>
        </w:numPr>
        <w:kinsoku/>
        <w:wordWrap/>
        <w:overflowPunct/>
        <w:topLinePunct w:val="0"/>
        <w:autoSpaceDE/>
        <w:autoSpaceDN/>
        <w:bidi w:val="0"/>
        <w:adjustRightInd/>
        <w:snapToGrid/>
        <w:spacing w:after="0" w:line="460" w:lineRule="exact"/>
        <w:ind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①样品质检报告：包含蛋白定量结果、蛋白电泳质控图、酶解效率评估等；</w:t>
      </w:r>
    </w:p>
    <w:p w14:paraId="3346746A">
      <w:pPr>
        <w:pStyle w:val="16"/>
        <w:keepNext w:val="0"/>
        <w:keepLines w:val="0"/>
        <w:pageBreakBefore w:val="0"/>
        <w:widowControl/>
        <w:numPr>
          <w:numId w:val="0"/>
        </w:numPr>
        <w:kinsoku/>
        <w:wordWrap/>
        <w:overflowPunct/>
        <w:topLinePunct w:val="0"/>
        <w:autoSpaceDE/>
        <w:autoSpaceDN/>
        <w:bidi w:val="0"/>
        <w:adjustRightInd/>
        <w:snapToGrid/>
        <w:spacing w:after="0" w:line="460" w:lineRule="exact"/>
        <w:ind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②质谱原始数据及质控报告：包含原始质谱文件、下机数据质控指标、标准品质控结果等；</w:t>
      </w:r>
    </w:p>
    <w:p w14:paraId="18E316D1">
      <w:pPr>
        <w:pStyle w:val="16"/>
        <w:keepNext w:val="0"/>
        <w:keepLines w:val="0"/>
        <w:pageBreakBefore w:val="0"/>
        <w:widowControl/>
        <w:numPr>
          <w:numId w:val="0"/>
        </w:numPr>
        <w:kinsoku/>
        <w:wordWrap/>
        <w:overflowPunct/>
        <w:topLinePunct w:val="0"/>
        <w:autoSpaceDE/>
        <w:autoSpaceDN/>
        <w:bidi w:val="0"/>
        <w:adjustRightInd/>
        <w:snapToGrid/>
        <w:spacing w:after="0" w:line="460" w:lineRule="exact"/>
        <w:ind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③鉴定与定量结果表格：包含蛋白/修饰位点鉴定列表、定量矩阵、差异表达分析结果等；</w:t>
      </w:r>
    </w:p>
    <w:p w14:paraId="0BEF375E">
      <w:pPr>
        <w:pStyle w:val="16"/>
        <w:keepNext w:val="0"/>
        <w:keepLines w:val="0"/>
        <w:pageBreakBefore w:val="0"/>
        <w:widowControl/>
        <w:numPr>
          <w:numId w:val="0"/>
        </w:numPr>
        <w:kinsoku/>
        <w:wordWrap/>
        <w:overflowPunct/>
        <w:topLinePunct w:val="0"/>
        <w:autoSpaceDE/>
        <w:autoSpaceDN/>
        <w:bidi w:val="0"/>
        <w:adjustRightInd/>
        <w:snapToGrid/>
        <w:spacing w:after="0" w:line="460" w:lineRule="exact"/>
        <w:ind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④生物信息学分析报告：包含全套标准生物信息分析图表、结果解读说明；</w:t>
      </w:r>
    </w:p>
    <w:p w14:paraId="54FC2D8C">
      <w:pPr>
        <w:pStyle w:val="16"/>
        <w:keepNext w:val="0"/>
        <w:keepLines w:val="0"/>
        <w:pageBreakBefore w:val="0"/>
        <w:widowControl/>
        <w:numPr>
          <w:numId w:val="0"/>
        </w:numPr>
        <w:kinsoku/>
        <w:wordWrap/>
        <w:overflowPunct/>
        <w:topLinePunct w:val="0"/>
        <w:autoSpaceDE/>
        <w:autoSpaceDN/>
        <w:bidi w:val="0"/>
        <w:adjustRightInd/>
        <w:snapToGrid/>
        <w:spacing w:after="0" w:line="460" w:lineRule="exact"/>
        <w:ind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⑤个性化分析结果：如有个性化分析需求，交付相应分析结果与说明文档；</w:t>
      </w:r>
    </w:p>
    <w:p w14:paraId="55A8ABFC">
      <w:pPr>
        <w:pStyle w:val="16"/>
        <w:keepNext w:val="0"/>
        <w:keepLines w:val="0"/>
        <w:pageBreakBefore w:val="0"/>
        <w:widowControl/>
        <w:numPr>
          <w:numId w:val="0"/>
        </w:numPr>
        <w:kinsoku/>
        <w:wordWrap/>
        <w:overflowPunct/>
        <w:topLinePunct w:val="0"/>
        <w:autoSpaceDE/>
        <w:autoSpaceDN/>
        <w:bidi w:val="0"/>
        <w:adjustRightInd/>
        <w:snapToGrid/>
        <w:spacing w:after="0" w:line="460" w:lineRule="exact"/>
        <w:ind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⑥实验方法与参数说明：详细说明实验流程、质谱参数、数据分析软件版本及关键参数设置。</w:t>
      </w:r>
    </w:p>
    <w:p w14:paraId="0D523259">
      <w:pPr>
        <w:keepNext w:val="0"/>
        <w:keepLines w:val="0"/>
        <w:pageBreakBefore w:val="0"/>
        <w:widowControl/>
        <w:kinsoku/>
        <w:wordWrap/>
        <w:overflowPunct/>
        <w:topLinePunct w:val="0"/>
        <w:autoSpaceDE/>
        <w:autoSpaceDN/>
        <w:bidi w:val="0"/>
        <w:adjustRightInd/>
        <w:snapToGrid/>
        <w:spacing w:after="0" w:line="460" w:lineRule="exact"/>
        <w:ind w:left="0" w:leftChars="0" w:firstLine="562"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b/>
          <w:color w:val="auto"/>
          <w:sz w:val="28"/>
          <w:szCs w:val="28"/>
        </w:rPr>
        <w:t xml:space="preserve">4.8 </w:t>
      </w:r>
      <w:r>
        <w:rPr>
          <w:rFonts w:hint="eastAsia" w:ascii="宋体" w:hAnsi="宋体" w:eastAsia="宋体" w:cs="宋体"/>
          <w:color w:val="auto"/>
          <w:sz w:val="28"/>
          <w:szCs w:val="28"/>
        </w:rPr>
        <w:t>检测周期要求：投标方需在收到合格样本后，蛋白质组学项目在45个自然日内完成检测与初步分析交付，乳酰化修饰组学项目在60个自然日内完成检测与初步分析交付；如遇特殊情况需延长周期，需提前与采购方沟通并获得同意。</w:t>
      </w:r>
    </w:p>
    <w:p w14:paraId="48C3902F">
      <w:pPr>
        <w:keepNext w:val="0"/>
        <w:keepLines w:val="0"/>
        <w:pageBreakBefore w:val="0"/>
        <w:widowControl/>
        <w:kinsoku/>
        <w:wordWrap/>
        <w:overflowPunct/>
        <w:topLinePunct w:val="0"/>
        <w:autoSpaceDE/>
        <w:autoSpaceDN/>
        <w:bidi w:val="0"/>
        <w:adjustRightInd/>
        <w:snapToGrid/>
        <w:spacing w:after="0" w:line="460" w:lineRule="exact"/>
        <w:ind w:left="0" w:leftChars="0" w:firstLine="560" w:firstLineChars="200"/>
        <w:jc w:val="left"/>
        <w:textAlignment w:val="auto"/>
        <w:outlineLvl w:val="9"/>
        <w:rPr>
          <w:rFonts w:hint="eastAsia" w:ascii="宋体" w:hAnsi="宋体" w:eastAsia="宋体" w:cs="宋体"/>
          <w:color w:val="auto"/>
          <w:sz w:val="28"/>
          <w:szCs w:val="28"/>
        </w:rPr>
      </w:pPr>
    </w:p>
    <w:sectPr>
      <w:headerReference r:id="rId5" w:type="default"/>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Courier New">
    <w:panose1 w:val="02070309020205020404"/>
    <w:charset w:val="00"/>
    <w:family w:val="auto"/>
    <w:pitch w:val="default"/>
    <w:sig w:usb0="E0002E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Yu Gothic">
    <w:panose1 w:val="020B0400000000000000"/>
    <w:charset w:val="80"/>
    <w:family w:val="auto"/>
    <w:pitch w:val="default"/>
    <w:sig w:usb0="E00002FF" w:usb1="2AC7FDFF" w:usb2="00000016" w:usb3="00000000" w:csb0="2002009F" w:csb1="00000000"/>
  </w:font>
  <w:font w:name="Symbol">
    <w:panose1 w:val="05050102010706020507"/>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4FD83">
    <w:pPr>
      <w:pStyle w:val="25"/>
      <w:rPr>
        <w:rFonts w:hint="default" w:eastAsia="宋体"/>
        <w:sz w:val="28"/>
        <w:szCs w:val="28"/>
        <w:lang w:val="en-US" w:eastAsia="zh-CN"/>
      </w:rPr>
    </w:pPr>
    <w:r>
      <w:rPr>
        <w:rFonts w:hint="eastAsia" w:eastAsia="宋体"/>
        <w:sz w:val="28"/>
        <w:szCs w:val="28"/>
        <w:lang w:val="en-US" w:eastAsia="zh-CN"/>
      </w:rPr>
      <w:t>附件1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80C184C"/>
    <w:rsid w:val="0E7476E7"/>
    <w:rsid w:val="13257202"/>
    <w:rsid w:val="135D699C"/>
    <w:rsid w:val="17035AAC"/>
    <w:rsid w:val="3158388D"/>
    <w:rsid w:val="40071310"/>
    <w:rsid w:val="4ABA5EA6"/>
    <w:rsid w:val="57C600B6"/>
    <w:rsid w:val="5A625C12"/>
    <w:rsid w:val="646C2C8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qFormat="1"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qFormat="1"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qFormat="1"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宋体" w:hAnsi="宋体"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3262</Words>
  <Characters>3913</Characters>
  <Lines>0</Lines>
  <Paragraphs>0</Paragraphs>
  <TotalTime>0</TotalTime>
  <ScaleCrop>false</ScaleCrop>
  <LinksUpToDate>false</LinksUpToDate>
  <CharactersWithSpaces>3969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文惠</cp:lastModifiedBy>
  <dcterms:modified xsi:type="dcterms:W3CDTF">2026-10-12T02:39:53Z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{"Label":"1","ContentProducer":"001191120116MA06RXPJ451WAI0","ProduceID":"9a853668718501aa35dc5d0df194d32a","ReservedCode1":"","ContentPropagator":"001191120116MA06RXPJ451WAI0","PropagateID":"263847a82bebacac155a51fbd0559dbd","ReservedCode2":""}</vt:lpwstr>
  </property>
  <property fmtid="{D5CDD505-2E9C-101B-9397-08002B2CF9AE}" pid="3" name="KSOTemplateDocerSaveRecord">
    <vt:lpwstr>eyJoZGlkIjoiNGJiNzFlYjU2MWQ3NzNmNTNkMTFjZmFkOGYyNjEyMmUiLCJ1c2VySWQiOiIxMjA2NjcyOTE1In0=</vt:lpwstr>
  </property>
  <property fmtid="{D5CDD505-2E9C-101B-9397-08002B2CF9AE}" pid="4" name="KSOProductBuildVer">
    <vt:lpwstr>2052-12.1.0.28505</vt:lpwstr>
  </property>
  <property fmtid="{D5CDD505-2E9C-101B-9397-08002B2CF9AE}" pid="5" name="ICV">
    <vt:lpwstr>CE3FD1AF5D28403990C70A6487E854E5_12</vt:lpwstr>
  </property>
</Properties>
</file>